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0919" w14:textId="5B44B410" w:rsidR="006A039B" w:rsidRPr="006A039B" w:rsidRDefault="006A039B" w:rsidP="000373A7">
      <w:pPr>
        <w:pStyle w:val="Default"/>
        <w:jc w:val="center"/>
        <w:rPr>
          <w:b/>
          <w:bCs/>
          <w:color w:val="C00000"/>
          <w:sz w:val="16"/>
          <w:szCs w:val="16"/>
          <w:u w:val="single"/>
        </w:rPr>
      </w:pPr>
    </w:p>
    <w:p w14:paraId="236A30AA" w14:textId="77777777" w:rsidR="00D87102" w:rsidRDefault="00D87102" w:rsidP="000373A7">
      <w:pPr>
        <w:pStyle w:val="Default"/>
        <w:jc w:val="center"/>
        <w:rPr>
          <w:b/>
          <w:bCs/>
          <w:color w:val="C00000"/>
          <w:sz w:val="28"/>
          <w:szCs w:val="28"/>
          <w:u w:val="single"/>
        </w:rPr>
      </w:pPr>
    </w:p>
    <w:p w14:paraId="7E25BAEC" w14:textId="6BBE45E4" w:rsidR="000373A7" w:rsidRDefault="000373A7" w:rsidP="000373A7">
      <w:pPr>
        <w:pStyle w:val="Default"/>
        <w:jc w:val="center"/>
        <w:rPr>
          <w:b/>
          <w:bCs/>
          <w:color w:val="C00000"/>
          <w:sz w:val="28"/>
          <w:szCs w:val="28"/>
          <w:u w:val="single"/>
        </w:rPr>
      </w:pPr>
      <w:r w:rsidRPr="000917CC">
        <w:rPr>
          <w:b/>
          <w:bCs/>
          <w:color w:val="C00000"/>
          <w:sz w:val="28"/>
          <w:szCs w:val="28"/>
          <w:u w:val="single"/>
        </w:rPr>
        <w:t>Brown Marmorated Stick Bug (BMSB)</w:t>
      </w:r>
      <w:r w:rsidR="00E16FA5" w:rsidRPr="00E16FA5">
        <w:t xml:space="preserve"> </w:t>
      </w:r>
      <w:r w:rsidR="00E16FA5" w:rsidRPr="00E16FA5">
        <w:rPr>
          <w:noProof/>
        </w:rPr>
        <w:drawing>
          <wp:inline distT="0" distB="0" distL="0" distR="0" wp14:anchorId="070300C1" wp14:editId="67793176">
            <wp:extent cx="647177" cy="606618"/>
            <wp:effectExtent l="0" t="0" r="635" b="3175"/>
            <wp:docPr id="5" name="Picture 5" descr="A picture containing insect, iso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sect, isopod&#10;&#10;Description automatically generated"/>
                    <pic:cNvPicPr/>
                  </pic:nvPicPr>
                  <pic:blipFill>
                    <a:blip r:embed="rId11"/>
                    <a:stretch>
                      <a:fillRect/>
                    </a:stretch>
                  </pic:blipFill>
                  <pic:spPr>
                    <a:xfrm>
                      <a:off x="0" y="0"/>
                      <a:ext cx="653423" cy="612473"/>
                    </a:xfrm>
                    <a:prstGeom prst="rect">
                      <a:avLst/>
                    </a:prstGeom>
                  </pic:spPr>
                </pic:pic>
              </a:graphicData>
            </a:graphic>
          </wp:inline>
        </w:drawing>
      </w:r>
    </w:p>
    <w:p w14:paraId="0880E60D" w14:textId="18BC75BA" w:rsidR="000373A7" w:rsidRPr="000917CC" w:rsidRDefault="000373A7" w:rsidP="000373A7">
      <w:pPr>
        <w:pStyle w:val="Default"/>
        <w:jc w:val="center"/>
        <w:rPr>
          <w:b/>
          <w:bCs/>
          <w:color w:val="C00000"/>
          <w:sz w:val="28"/>
          <w:szCs w:val="28"/>
          <w:u w:val="single"/>
        </w:rPr>
      </w:pPr>
      <w:r>
        <w:rPr>
          <w:b/>
          <w:bCs/>
          <w:color w:val="C00000"/>
          <w:sz w:val="28"/>
          <w:szCs w:val="28"/>
          <w:u w:val="single"/>
        </w:rPr>
        <w:t>202</w:t>
      </w:r>
      <w:r w:rsidR="00994394">
        <w:rPr>
          <w:b/>
          <w:bCs/>
          <w:color w:val="C00000"/>
          <w:sz w:val="28"/>
          <w:szCs w:val="28"/>
          <w:u w:val="single"/>
        </w:rPr>
        <w:t>2</w:t>
      </w:r>
      <w:r>
        <w:rPr>
          <w:b/>
          <w:bCs/>
          <w:color w:val="C00000"/>
          <w:sz w:val="28"/>
          <w:szCs w:val="28"/>
          <w:u w:val="single"/>
        </w:rPr>
        <w:t xml:space="preserve"> - 202</w:t>
      </w:r>
      <w:r w:rsidR="00994394">
        <w:rPr>
          <w:b/>
          <w:bCs/>
          <w:color w:val="C00000"/>
          <w:sz w:val="28"/>
          <w:szCs w:val="28"/>
          <w:u w:val="single"/>
        </w:rPr>
        <w:t>3</w:t>
      </w:r>
      <w:r>
        <w:rPr>
          <w:b/>
          <w:bCs/>
          <w:color w:val="C00000"/>
          <w:sz w:val="28"/>
          <w:szCs w:val="28"/>
          <w:u w:val="single"/>
        </w:rPr>
        <w:t xml:space="preserve"> Season</w:t>
      </w:r>
    </w:p>
    <w:p w14:paraId="54062D01" w14:textId="77777777" w:rsidR="000373A7" w:rsidRDefault="000373A7" w:rsidP="000373A7">
      <w:pPr>
        <w:pStyle w:val="Default"/>
        <w:rPr>
          <w:color w:val="C00000"/>
          <w:sz w:val="28"/>
          <w:szCs w:val="28"/>
        </w:rPr>
      </w:pPr>
    </w:p>
    <w:p w14:paraId="79E27A69" w14:textId="77777777" w:rsidR="000373A7" w:rsidRDefault="000373A7" w:rsidP="000373A7">
      <w:pPr>
        <w:pStyle w:val="Default"/>
        <w:rPr>
          <w:sz w:val="20"/>
          <w:szCs w:val="20"/>
        </w:rPr>
      </w:pPr>
      <w:r>
        <w:rPr>
          <w:b/>
          <w:bCs/>
          <w:sz w:val="20"/>
          <w:szCs w:val="20"/>
        </w:rPr>
        <w:t xml:space="preserve"> </w:t>
      </w:r>
    </w:p>
    <w:p w14:paraId="53CE1A2C" w14:textId="15C4EB11" w:rsidR="00860F85" w:rsidRDefault="000373A7" w:rsidP="000373A7">
      <w:pPr>
        <w:pStyle w:val="Default"/>
        <w:rPr>
          <w:i/>
          <w:iCs/>
          <w:sz w:val="20"/>
          <w:szCs w:val="20"/>
        </w:rPr>
      </w:pPr>
      <w:r w:rsidRPr="003D4460">
        <w:rPr>
          <w:i/>
          <w:iCs/>
          <w:sz w:val="20"/>
          <w:szCs w:val="20"/>
        </w:rPr>
        <w:t xml:space="preserve">The </w:t>
      </w:r>
      <w:r>
        <w:rPr>
          <w:i/>
          <w:iCs/>
          <w:sz w:val="20"/>
          <w:szCs w:val="20"/>
        </w:rPr>
        <w:t>D</w:t>
      </w:r>
      <w:r w:rsidRPr="003D4460">
        <w:rPr>
          <w:i/>
          <w:iCs/>
          <w:sz w:val="20"/>
          <w:szCs w:val="20"/>
        </w:rPr>
        <w:t xml:space="preserve">epartment </w:t>
      </w:r>
      <w:r>
        <w:rPr>
          <w:i/>
          <w:iCs/>
          <w:sz w:val="20"/>
          <w:szCs w:val="20"/>
        </w:rPr>
        <w:t>of Agriculture</w:t>
      </w:r>
      <w:r w:rsidR="00381F21">
        <w:rPr>
          <w:i/>
          <w:iCs/>
          <w:sz w:val="20"/>
          <w:szCs w:val="20"/>
        </w:rPr>
        <w:t>, Fisheries &amp; Forestry (DAFF)</w:t>
      </w:r>
      <w:r>
        <w:rPr>
          <w:i/>
          <w:iCs/>
          <w:sz w:val="20"/>
          <w:szCs w:val="20"/>
        </w:rPr>
        <w:t xml:space="preserve"> </w:t>
      </w:r>
      <w:r w:rsidRPr="003D4460">
        <w:rPr>
          <w:i/>
          <w:iCs/>
          <w:sz w:val="20"/>
          <w:szCs w:val="20"/>
        </w:rPr>
        <w:t>has finalised the seasonal measures for the 202</w:t>
      </w:r>
      <w:r w:rsidR="00994394">
        <w:rPr>
          <w:i/>
          <w:iCs/>
          <w:sz w:val="20"/>
          <w:szCs w:val="20"/>
        </w:rPr>
        <w:t>2</w:t>
      </w:r>
      <w:r w:rsidRPr="003D4460">
        <w:rPr>
          <w:i/>
          <w:iCs/>
          <w:sz w:val="20"/>
          <w:szCs w:val="20"/>
        </w:rPr>
        <w:t>-2</w:t>
      </w:r>
      <w:r w:rsidR="00994394">
        <w:rPr>
          <w:i/>
          <w:iCs/>
          <w:sz w:val="20"/>
          <w:szCs w:val="20"/>
        </w:rPr>
        <w:t>3</w:t>
      </w:r>
      <w:r w:rsidRPr="003D4460">
        <w:rPr>
          <w:i/>
          <w:iCs/>
          <w:sz w:val="20"/>
          <w:szCs w:val="20"/>
        </w:rPr>
        <w:t xml:space="preserve"> BMSB risk season. The measures remain consistent with the 20</w:t>
      </w:r>
      <w:r w:rsidR="003F5E98">
        <w:rPr>
          <w:i/>
          <w:iCs/>
          <w:sz w:val="20"/>
          <w:szCs w:val="20"/>
        </w:rPr>
        <w:t>2</w:t>
      </w:r>
      <w:r w:rsidR="00994394">
        <w:rPr>
          <w:i/>
          <w:iCs/>
          <w:sz w:val="20"/>
          <w:szCs w:val="20"/>
        </w:rPr>
        <w:t>1</w:t>
      </w:r>
      <w:r w:rsidRPr="003D4460">
        <w:rPr>
          <w:i/>
          <w:iCs/>
          <w:sz w:val="20"/>
          <w:szCs w:val="20"/>
        </w:rPr>
        <w:t>-2</w:t>
      </w:r>
      <w:r w:rsidR="00994394">
        <w:rPr>
          <w:i/>
          <w:iCs/>
          <w:sz w:val="20"/>
          <w:szCs w:val="20"/>
        </w:rPr>
        <w:t>2</w:t>
      </w:r>
      <w:r w:rsidRPr="003D4460">
        <w:rPr>
          <w:i/>
          <w:iCs/>
          <w:sz w:val="20"/>
          <w:szCs w:val="20"/>
        </w:rPr>
        <w:t xml:space="preserve"> BMSB risk season</w:t>
      </w:r>
      <w:r w:rsidR="008E5713">
        <w:rPr>
          <w:i/>
          <w:iCs/>
          <w:sz w:val="20"/>
          <w:szCs w:val="20"/>
        </w:rPr>
        <w:t xml:space="preserve"> f</w:t>
      </w:r>
      <w:r>
        <w:rPr>
          <w:i/>
          <w:iCs/>
          <w:sz w:val="20"/>
          <w:szCs w:val="20"/>
        </w:rPr>
        <w:t>or the 202</w:t>
      </w:r>
      <w:r w:rsidR="008E5713">
        <w:rPr>
          <w:i/>
          <w:iCs/>
          <w:sz w:val="20"/>
          <w:szCs w:val="20"/>
        </w:rPr>
        <w:t>2</w:t>
      </w:r>
      <w:r>
        <w:rPr>
          <w:i/>
          <w:iCs/>
          <w:sz w:val="20"/>
          <w:szCs w:val="20"/>
        </w:rPr>
        <w:t>–</w:t>
      </w:r>
      <w:r w:rsidR="00117E89">
        <w:rPr>
          <w:i/>
          <w:iCs/>
          <w:sz w:val="20"/>
          <w:szCs w:val="20"/>
        </w:rPr>
        <w:t>2</w:t>
      </w:r>
      <w:r w:rsidR="008E5713">
        <w:rPr>
          <w:i/>
          <w:iCs/>
          <w:sz w:val="20"/>
          <w:szCs w:val="20"/>
        </w:rPr>
        <w:t>3</w:t>
      </w:r>
      <w:r>
        <w:rPr>
          <w:i/>
          <w:iCs/>
          <w:sz w:val="20"/>
          <w:szCs w:val="20"/>
        </w:rPr>
        <w:t xml:space="preserve"> season</w:t>
      </w:r>
      <w:r w:rsidR="008E5713">
        <w:rPr>
          <w:i/>
          <w:iCs/>
          <w:sz w:val="20"/>
          <w:szCs w:val="20"/>
        </w:rPr>
        <w:t xml:space="preserve"> for</w:t>
      </w:r>
      <w:r>
        <w:rPr>
          <w:i/>
          <w:iCs/>
          <w:sz w:val="20"/>
          <w:szCs w:val="20"/>
        </w:rPr>
        <w:t xml:space="preserve"> certain goods manufactured in</w:t>
      </w:r>
      <w:r w:rsidR="00D20844">
        <w:rPr>
          <w:i/>
          <w:iCs/>
          <w:sz w:val="20"/>
          <w:szCs w:val="20"/>
        </w:rPr>
        <w:t xml:space="preserve">, </w:t>
      </w:r>
      <w:r>
        <w:rPr>
          <w:i/>
          <w:iCs/>
          <w:sz w:val="20"/>
          <w:szCs w:val="20"/>
        </w:rPr>
        <w:t xml:space="preserve">or shipped from target risk countries as sea cargo between </w:t>
      </w:r>
      <w:r>
        <w:rPr>
          <w:b/>
          <w:bCs/>
          <w:i/>
          <w:iCs/>
          <w:sz w:val="20"/>
          <w:szCs w:val="20"/>
        </w:rPr>
        <w:t>1</w:t>
      </w:r>
      <w:r w:rsidR="00F6526A" w:rsidRPr="00F6526A">
        <w:rPr>
          <w:b/>
          <w:bCs/>
          <w:i/>
          <w:iCs/>
          <w:sz w:val="20"/>
          <w:szCs w:val="20"/>
          <w:vertAlign w:val="superscript"/>
        </w:rPr>
        <w:t>st</w:t>
      </w:r>
      <w:r w:rsidR="00F6526A">
        <w:rPr>
          <w:b/>
          <w:bCs/>
          <w:i/>
          <w:iCs/>
          <w:sz w:val="20"/>
          <w:szCs w:val="20"/>
        </w:rPr>
        <w:t xml:space="preserve"> </w:t>
      </w:r>
      <w:r>
        <w:rPr>
          <w:b/>
          <w:bCs/>
          <w:i/>
          <w:iCs/>
          <w:sz w:val="20"/>
          <w:szCs w:val="20"/>
        </w:rPr>
        <w:t>September 202</w:t>
      </w:r>
      <w:r w:rsidR="008E5713">
        <w:rPr>
          <w:b/>
          <w:bCs/>
          <w:i/>
          <w:iCs/>
          <w:sz w:val="20"/>
          <w:szCs w:val="20"/>
        </w:rPr>
        <w:t>2</w:t>
      </w:r>
      <w:r>
        <w:rPr>
          <w:b/>
          <w:bCs/>
          <w:i/>
          <w:iCs/>
          <w:sz w:val="20"/>
          <w:szCs w:val="20"/>
        </w:rPr>
        <w:t xml:space="preserve"> </w:t>
      </w:r>
      <w:r>
        <w:rPr>
          <w:i/>
          <w:iCs/>
          <w:sz w:val="20"/>
          <w:szCs w:val="20"/>
        </w:rPr>
        <w:t xml:space="preserve">and </w:t>
      </w:r>
      <w:r>
        <w:rPr>
          <w:b/>
          <w:bCs/>
          <w:i/>
          <w:iCs/>
          <w:sz w:val="20"/>
          <w:szCs w:val="20"/>
        </w:rPr>
        <w:t>3</w:t>
      </w:r>
      <w:r w:rsidR="00F6526A">
        <w:rPr>
          <w:b/>
          <w:bCs/>
          <w:i/>
          <w:iCs/>
          <w:sz w:val="20"/>
          <w:szCs w:val="20"/>
        </w:rPr>
        <w:t>0</w:t>
      </w:r>
      <w:r w:rsidR="00F6526A" w:rsidRPr="00F6526A">
        <w:rPr>
          <w:b/>
          <w:bCs/>
          <w:i/>
          <w:iCs/>
          <w:sz w:val="20"/>
          <w:szCs w:val="20"/>
          <w:vertAlign w:val="superscript"/>
        </w:rPr>
        <w:t>th</w:t>
      </w:r>
      <w:r w:rsidR="00F6526A">
        <w:rPr>
          <w:b/>
          <w:bCs/>
          <w:i/>
          <w:iCs/>
          <w:sz w:val="20"/>
          <w:szCs w:val="20"/>
        </w:rPr>
        <w:t xml:space="preserve"> April</w:t>
      </w:r>
      <w:r>
        <w:rPr>
          <w:b/>
          <w:bCs/>
          <w:i/>
          <w:iCs/>
          <w:sz w:val="20"/>
          <w:szCs w:val="20"/>
        </w:rPr>
        <w:t xml:space="preserve"> 202</w:t>
      </w:r>
      <w:r w:rsidR="008E5713">
        <w:rPr>
          <w:b/>
          <w:bCs/>
          <w:i/>
          <w:iCs/>
          <w:sz w:val="20"/>
          <w:szCs w:val="20"/>
        </w:rPr>
        <w:t>3</w:t>
      </w:r>
      <w:r>
        <w:rPr>
          <w:b/>
          <w:bCs/>
          <w:i/>
          <w:iCs/>
          <w:sz w:val="20"/>
          <w:szCs w:val="20"/>
        </w:rPr>
        <w:t xml:space="preserve"> </w:t>
      </w:r>
      <w:r>
        <w:rPr>
          <w:i/>
          <w:iCs/>
          <w:sz w:val="20"/>
          <w:szCs w:val="20"/>
        </w:rPr>
        <w:t>(inclusive).</w:t>
      </w:r>
      <w:r w:rsidR="00860F85">
        <w:rPr>
          <w:i/>
          <w:iCs/>
          <w:sz w:val="20"/>
          <w:szCs w:val="20"/>
        </w:rPr>
        <w:t xml:space="preserve"> </w:t>
      </w:r>
    </w:p>
    <w:p w14:paraId="3EEE9688" w14:textId="77777777" w:rsidR="00EC1DB7" w:rsidRDefault="00EC1DB7" w:rsidP="000373A7">
      <w:pPr>
        <w:pStyle w:val="Default"/>
        <w:rPr>
          <w:i/>
          <w:iCs/>
          <w:sz w:val="20"/>
          <w:szCs w:val="20"/>
        </w:rPr>
      </w:pPr>
    </w:p>
    <w:p w14:paraId="3339C5EC" w14:textId="30884181" w:rsidR="000A7EED" w:rsidRDefault="00860F85" w:rsidP="000373A7">
      <w:pPr>
        <w:pStyle w:val="Default"/>
        <w:rPr>
          <w:i/>
          <w:iCs/>
          <w:sz w:val="20"/>
          <w:szCs w:val="20"/>
        </w:rPr>
      </w:pPr>
      <w:r w:rsidRPr="00860F85">
        <w:rPr>
          <w:b/>
          <w:bCs/>
          <w:i/>
          <w:iCs/>
          <w:sz w:val="20"/>
          <w:szCs w:val="20"/>
        </w:rPr>
        <w:t>Note:</w:t>
      </w:r>
      <w:r w:rsidRPr="00860F85">
        <w:rPr>
          <w:i/>
          <w:iCs/>
          <w:sz w:val="20"/>
          <w:szCs w:val="20"/>
        </w:rPr>
        <w:t xml:space="preserve"> The shipped on</w:t>
      </w:r>
      <w:r>
        <w:rPr>
          <w:i/>
          <w:iCs/>
          <w:sz w:val="20"/>
          <w:szCs w:val="20"/>
        </w:rPr>
        <w:t>-</w:t>
      </w:r>
      <w:r w:rsidRPr="00860F85">
        <w:rPr>
          <w:i/>
          <w:iCs/>
          <w:sz w:val="20"/>
          <w:szCs w:val="20"/>
        </w:rPr>
        <w:t>board date, as indicated on the Ocean Bill of lading, is the date used to determine when goods have been shipped. “Gate in” dates and times will not be accepted to determine when goods are shipped.</w:t>
      </w:r>
    </w:p>
    <w:p w14:paraId="23F4ADEA" w14:textId="6211A696" w:rsidR="000373A7" w:rsidRDefault="000373A7" w:rsidP="000373A7">
      <w:pPr>
        <w:pStyle w:val="Default"/>
        <w:rPr>
          <w:i/>
          <w:iCs/>
          <w:sz w:val="20"/>
          <w:szCs w:val="20"/>
        </w:rPr>
      </w:pPr>
      <w:r w:rsidRPr="003D4460">
        <w:rPr>
          <w:i/>
          <w:iCs/>
          <w:sz w:val="20"/>
          <w:szCs w:val="20"/>
        </w:rPr>
        <w:t xml:space="preserve">Goods must be treated for BMSB if exported between </w:t>
      </w:r>
      <w:r w:rsidRPr="003D4460">
        <w:rPr>
          <w:b/>
          <w:bCs/>
          <w:i/>
          <w:iCs/>
          <w:sz w:val="20"/>
          <w:szCs w:val="20"/>
        </w:rPr>
        <w:t>1 September 202</w:t>
      </w:r>
      <w:r w:rsidR="007615E3">
        <w:rPr>
          <w:b/>
          <w:bCs/>
          <w:i/>
          <w:iCs/>
          <w:sz w:val="20"/>
          <w:szCs w:val="20"/>
        </w:rPr>
        <w:t>2</w:t>
      </w:r>
      <w:r w:rsidRPr="003D4460">
        <w:rPr>
          <w:i/>
          <w:iCs/>
          <w:sz w:val="20"/>
          <w:szCs w:val="20"/>
        </w:rPr>
        <w:t xml:space="preserve"> and </w:t>
      </w:r>
      <w:r w:rsidRPr="003D4460">
        <w:rPr>
          <w:b/>
          <w:bCs/>
          <w:i/>
          <w:iCs/>
          <w:sz w:val="20"/>
          <w:szCs w:val="20"/>
        </w:rPr>
        <w:t>30 April 202</w:t>
      </w:r>
      <w:r w:rsidR="007615E3">
        <w:rPr>
          <w:b/>
          <w:bCs/>
          <w:i/>
          <w:iCs/>
          <w:sz w:val="20"/>
          <w:szCs w:val="20"/>
        </w:rPr>
        <w:t>3</w:t>
      </w:r>
      <w:r w:rsidRPr="003D4460">
        <w:rPr>
          <w:b/>
          <w:bCs/>
          <w:i/>
          <w:iCs/>
          <w:sz w:val="20"/>
          <w:szCs w:val="20"/>
        </w:rPr>
        <w:t xml:space="preserve"> </w:t>
      </w:r>
      <w:r w:rsidRPr="003D4460">
        <w:rPr>
          <w:i/>
          <w:iCs/>
          <w:sz w:val="20"/>
          <w:szCs w:val="20"/>
        </w:rPr>
        <w:t>(inclusive).</w:t>
      </w:r>
    </w:p>
    <w:p w14:paraId="5A30B7C2" w14:textId="77777777" w:rsidR="00EC1DB7" w:rsidRDefault="00EC1DB7" w:rsidP="000373A7">
      <w:pPr>
        <w:pStyle w:val="Default"/>
        <w:rPr>
          <w:i/>
          <w:iCs/>
          <w:sz w:val="20"/>
          <w:szCs w:val="20"/>
        </w:rPr>
      </w:pPr>
    </w:p>
    <w:p w14:paraId="21A2EC1F" w14:textId="3BCECCF3" w:rsidR="00DC56DB" w:rsidRDefault="00CD1C22" w:rsidP="00CD1C22">
      <w:pPr>
        <w:pStyle w:val="Default"/>
        <w:rPr>
          <w:i/>
          <w:iCs/>
          <w:sz w:val="20"/>
          <w:szCs w:val="20"/>
        </w:rPr>
      </w:pPr>
      <w:r w:rsidRPr="00CD1C22">
        <w:rPr>
          <w:i/>
          <w:iCs/>
          <w:sz w:val="20"/>
          <w:szCs w:val="20"/>
        </w:rPr>
        <w:t xml:space="preserve">With the change of Post BMSB fumigation inspections moving from Seals Intact-Supervised Unpacks to </w:t>
      </w:r>
      <w:r>
        <w:rPr>
          <w:i/>
          <w:iCs/>
          <w:sz w:val="20"/>
          <w:szCs w:val="20"/>
        </w:rPr>
        <w:t>“</w:t>
      </w:r>
      <w:r w:rsidRPr="00CD1C22">
        <w:rPr>
          <w:b/>
          <w:bCs/>
          <w:i/>
          <w:iCs/>
          <w:sz w:val="20"/>
          <w:szCs w:val="20"/>
        </w:rPr>
        <w:t>Inspect (unpack) Inspections instead of Secure Seals intact inspections at Approved Arrangements</w:t>
      </w:r>
      <w:r>
        <w:rPr>
          <w:i/>
          <w:iCs/>
          <w:sz w:val="20"/>
          <w:szCs w:val="20"/>
        </w:rPr>
        <w:t xml:space="preserve">” </w:t>
      </w:r>
      <w:r w:rsidRPr="00CD1C22">
        <w:rPr>
          <w:i/>
          <w:iCs/>
          <w:sz w:val="20"/>
          <w:szCs w:val="20"/>
        </w:rPr>
        <w:t xml:space="preserve">we should hopefully see some relief from last season in the turnaround time of inspections. </w:t>
      </w:r>
    </w:p>
    <w:p w14:paraId="7CC0A533" w14:textId="55BACDA7" w:rsidR="000373A7" w:rsidRDefault="000373A7" w:rsidP="000373A7">
      <w:pPr>
        <w:pStyle w:val="Default"/>
        <w:rPr>
          <w:sz w:val="20"/>
          <w:szCs w:val="20"/>
        </w:rPr>
      </w:pPr>
      <w:r w:rsidRPr="003D4460">
        <w:rPr>
          <w:rFonts w:ascii="Calibri" w:hAnsi="Calibri" w:cstheme="minorBidi"/>
          <w:sz w:val="21"/>
          <w:szCs w:val="21"/>
          <w:shd w:val="clear" w:color="auto" w:fill="FFFFFF"/>
          <w:lang w:val="en-US"/>
        </w:rPr>
        <w:t>The final seasonal measures are available on the </w:t>
      </w:r>
      <w:hyperlink r:id="rId12" w:history="1">
        <w:r w:rsidRPr="00A44C10">
          <w:rPr>
            <w:rStyle w:val="Hyperlink"/>
            <w:rFonts w:ascii="Calibri" w:hAnsi="Calibri" w:cstheme="minorBidi"/>
            <w:sz w:val="21"/>
            <w:szCs w:val="21"/>
            <w:lang w:val="en-US"/>
          </w:rPr>
          <w:t>BMSB webpage</w:t>
        </w:r>
      </w:hyperlink>
      <w:r w:rsidRPr="003D4460">
        <w:rPr>
          <w:rFonts w:ascii="Calibri" w:hAnsi="Calibri" w:cstheme="minorBidi"/>
          <w:color w:val="002060"/>
          <w:sz w:val="21"/>
          <w:szCs w:val="21"/>
          <w:shd w:val="clear" w:color="auto" w:fill="FFFFFF"/>
          <w:lang w:val="en-US"/>
        </w:rPr>
        <w:t xml:space="preserve"> </w:t>
      </w:r>
    </w:p>
    <w:p w14:paraId="058E8DE7" w14:textId="77777777" w:rsidR="000373A7" w:rsidRDefault="000373A7" w:rsidP="000373A7">
      <w:pPr>
        <w:pStyle w:val="Default"/>
        <w:rPr>
          <w:b/>
          <w:bCs/>
          <w:color w:val="C00000"/>
          <w:sz w:val="23"/>
          <w:szCs w:val="23"/>
        </w:rPr>
      </w:pPr>
    </w:p>
    <w:p w14:paraId="48E6963B" w14:textId="77777777" w:rsidR="000373A7" w:rsidRDefault="000373A7" w:rsidP="000373A7">
      <w:pPr>
        <w:pStyle w:val="Default"/>
        <w:rPr>
          <w:b/>
          <w:bCs/>
          <w:color w:val="C00000"/>
          <w:sz w:val="23"/>
          <w:szCs w:val="23"/>
        </w:rPr>
      </w:pPr>
    </w:p>
    <w:p w14:paraId="511E41EE" w14:textId="77777777" w:rsidR="000373A7" w:rsidRPr="00011D29" w:rsidRDefault="000373A7" w:rsidP="000373A7">
      <w:pPr>
        <w:pStyle w:val="Default"/>
        <w:rPr>
          <w:b/>
          <w:bCs/>
          <w:i/>
          <w:iCs/>
          <w:color w:val="C00000"/>
          <w:sz w:val="23"/>
          <w:szCs w:val="23"/>
        </w:rPr>
      </w:pPr>
      <w:r w:rsidRPr="00011D29">
        <w:rPr>
          <w:b/>
          <w:bCs/>
          <w:i/>
          <w:iCs/>
          <w:color w:val="C00000"/>
          <w:sz w:val="23"/>
          <w:szCs w:val="23"/>
        </w:rPr>
        <w:t xml:space="preserve">Target Risk </w:t>
      </w:r>
      <w:bookmarkStart w:id="0" w:name="_Hlk77941279"/>
      <w:r w:rsidRPr="00011D29">
        <w:rPr>
          <w:b/>
          <w:bCs/>
          <w:i/>
          <w:iCs/>
          <w:color w:val="C00000"/>
          <w:sz w:val="23"/>
          <w:szCs w:val="23"/>
        </w:rPr>
        <w:t>Countries</w:t>
      </w:r>
      <w:bookmarkEnd w:id="0"/>
    </w:p>
    <w:p w14:paraId="10D421E7" w14:textId="77777777" w:rsidR="000373A7" w:rsidRDefault="000373A7" w:rsidP="000373A7">
      <w:pPr>
        <w:pStyle w:val="Default"/>
        <w:rPr>
          <w:i/>
          <w:iCs/>
          <w:sz w:val="20"/>
          <w:szCs w:val="20"/>
        </w:rPr>
      </w:pPr>
      <w:r w:rsidRPr="00011D29">
        <w:rPr>
          <w:i/>
          <w:iCs/>
          <w:sz w:val="20"/>
          <w:szCs w:val="20"/>
        </w:rPr>
        <w:t>The following countries have been categorised as target risk. Any target high risk or target risk goods which are manufactured in, or shipped from these countries will be subject to BMSB seasonal measures:</w:t>
      </w:r>
    </w:p>
    <w:p w14:paraId="65450911" w14:textId="3C60D7EF" w:rsidR="000373A7" w:rsidRDefault="00011D29" w:rsidP="000373A7">
      <w:pPr>
        <w:pStyle w:val="Default"/>
        <w:rPr>
          <w:b/>
          <w:i/>
          <w:iCs/>
          <w:sz w:val="20"/>
          <w:szCs w:val="20"/>
        </w:rPr>
      </w:pPr>
      <w:r>
        <w:rPr>
          <w:noProof/>
        </w:rPr>
        <w:drawing>
          <wp:inline distT="0" distB="0" distL="0" distR="0" wp14:anchorId="6A48BA0C" wp14:editId="004A7024">
            <wp:extent cx="5274310" cy="3414395"/>
            <wp:effectExtent l="0" t="0" r="254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stretch>
                      <a:fillRect/>
                    </a:stretch>
                  </pic:blipFill>
                  <pic:spPr>
                    <a:xfrm>
                      <a:off x="0" y="0"/>
                      <a:ext cx="5274310" cy="3414395"/>
                    </a:xfrm>
                    <a:prstGeom prst="rect">
                      <a:avLst/>
                    </a:prstGeom>
                  </pic:spPr>
                </pic:pic>
              </a:graphicData>
            </a:graphic>
          </wp:inline>
        </w:drawing>
      </w:r>
    </w:p>
    <w:p w14:paraId="2106F0C9" w14:textId="4333F911" w:rsidR="000373A7" w:rsidRDefault="000373A7" w:rsidP="000373A7">
      <w:pPr>
        <w:pStyle w:val="Default"/>
        <w:rPr>
          <w:b/>
          <w:i/>
          <w:iCs/>
          <w:sz w:val="20"/>
          <w:szCs w:val="20"/>
        </w:rPr>
      </w:pPr>
      <w:r>
        <w:rPr>
          <w:b/>
          <w:i/>
          <w:iCs/>
          <w:sz w:val="20"/>
          <w:szCs w:val="20"/>
        </w:rPr>
        <w:lastRenderedPageBreak/>
        <w:tab/>
      </w:r>
      <w:r>
        <w:rPr>
          <w:b/>
          <w:i/>
          <w:iCs/>
          <w:sz w:val="20"/>
          <w:szCs w:val="20"/>
        </w:rPr>
        <w:tab/>
      </w:r>
      <w:r>
        <w:rPr>
          <w:b/>
          <w:i/>
          <w:iCs/>
          <w:sz w:val="20"/>
          <w:szCs w:val="20"/>
        </w:rPr>
        <w:tab/>
      </w:r>
      <w:r>
        <w:rPr>
          <w:b/>
          <w:i/>
          <w:iCs/>
          <w:sz w:val="20"/>
          <w:szCs w:val="20"/>
        </w:rPr>
        <w:tab/>
      </w:r>
    </w:p>
    <w:p w14:paraId="58F89CBB" w14:textId="77777777" w:rsidR="00AC1AF1" w:rsidRDefault="00AC1AF1" w:rsidP="000373A7">
      <w:pPr>
        <w:pStyle w:val="Default"/>
        <w:rPr>
          <w:bCs/>
          <w:i/>
          <w:iCs/>
          <w:sz w:val="20"/>
          <w:szCs w:val="20"/>
        </w:rPr>
      </w:pPr>
    </w:p>
    <w:p w14:paraId="759BAFDA" w14:textId="10E5BFB7" w:rsidR="000373A7" w:rsidRDefault="00DC56DB" w:rsidP="000373A7">
      <w:pPr>
        <w:pStyle w:val="Default"/>
        <w:rPr>
          <w:bCs/>
          <w:i/>
          <w:iCs/>
          <w:sz w:val="20"/>
          <w:szCs w:val="20"/>
        </w:rPr>
      </w:pPr>
      <w:r w:rsidRPr="00DC56DB">
        <w:rPr>
          <w:bCs/>
          <w:i/>
          <w:iCs/>
          <w:sz w:val="20"/>
          <w:szCs w:val="20"/>
        </w:rPr>
        <w:t xml:space="preserve">This upcoming season, </w:t>
      </w:r>
      <w:r w:rsidRPr="00DC56DB">
        <w:rPr>
          <w:b/>
          <w:i/>
          <w:iCs/>
          <w:sz w:val="20"/>
          <w:szCs w:val="20"/>
        </w:rPr>
        <w:t>China</w:t>
      </w:r>
      <w:r w:rsidRPr="00DC56DB">
        <w:rPr>
          <w:bCs/>
          <w:i/>
          <w:iCs/>
          <w:sz w:val="20"/>
          <w:szCs w:val="20"/>
        </w:rPr>
        <w:t xml:space="preserve"> and The </w:t>
      </w:r>
      <w:r w:rsidRPr="00DC56DB">
        <w:rPr>
          <w:b/>
          <w:i/>
          <w:iCs/>
          <w:sz w:val="20"/>
          <w:szCs w:val="20"/>
        </w:rPr>
        <w:t>United Kingdom</w:t>
      </w:r>
      <w:r w:rsidRPr="00DC56DB">
        <w:rPr>
          <w:bCs/>
          <w:i/>
          <w:iCs/>
          <w:sz w:val="20"/>
          <w:szCs w:val="20"/>
        </w:rPr>
        <w:t xml:space="preserve"> have been categorized as emerging risk countries, with set periods of random onshore inspections for both Countries (</w:t>
      </w:r>
      <w:r w:rsidRPr="007B2B75">
        <w:rPr>
          <w:b/>
          <w:i/>
          <w:iCs/>
          <w:sz w:val="20"/>
          <w:szCs w:val="20"/>
        </w:rPr>
        <w:t>China</w:t>
      </w:r>
      <w:r w:rsidRPr="00DC56DB">
        <w:rPr>
          <w:bCs/>
          <w:i/>
          <w:iCs/>
          <w:sz w:val="20"/>
          <w:szCs w:val="20"/>
        </w:rPr>
        <w:t xml:space="preserve"> being 1st September to 31st December and </w:t>
      </w:r>
      <w:r w:rsidRPr="007B2B75">
        <w:rPr>
          <w:b/>
          <w:i/>
          <w:iCs/>
          <w:sz w:val="20"/>
          <w:szCs w:val="20"/>
        </w:rPr>
        <w:t>UK</w:t>
      </w:r>
      <w:r w:rsidRPr="00DC56DB">
        <w:rPr>
          <w:bCs/>
          <w:i/>
          <w:iCs/>
          <w:sz w:val="20"/>
          <w:szCs w:val="20"/>
        </w:rPr>
        <w:t xml:space="preserve"> being 1st December to 30th April).</w:t>
      </w:r>
    </w:p>
    <w:p w14:paraId="6BB0ED72" w14:textId="7D922818" w:rsidR="00DC56DB" w:rsidRDefault="00DC56DB" w:rsidP="000373A7">
      <w:pPr>
        <w:pStyle w:val="Default"/>
        <w:rPr>
          <w:bCs/>
          <w:i/>
          <w:iCs/>
          <w:sz w:val="20"/>
          <w:szCs w:val="20"/>
        </w:rPr>
      </w:pPr>
    </w:p>
    <w:p w14:paraId="4DF24278" w14:textId="77777777" w:rsidR="00F90467" w:rsidRDefault="00F90467" w:rsidP="000373A7">
      <w:pPr>
        <w:pStyle w:val="Default"/>
        <w:rPr>
          <w:b/>
          <w:bCs/>
          <w:i/>
          <w:iCs/>
          <w:color w:val="C00000"/>
          <w:sz w:val="23"/>
          <w:szCs w:val="23"/>
        </w:rPr>
      </w:pPr>
    </w:p>
    <w:p w14:paraId="61EB7A54" w14:textId="0C2DA3D1" w:rsidR="000373A7" w:rsidRDefault="000373A7" w:rsidP="000373A7">
      <w:pPr>
        <w:pStyle w:val="Default"/>
        <w:rPr>
          <w:b/>
          <w:bCs/>
          <w:i/>
          <w:iCs/>
          <w:color w:val="C00000"/>
          <w:sz w:val="23"/>
          <w:szCs w:val="23"/>
        </w:rPr>
      </w:pPr>
      <w:r>
        <w:rPr>
          <w:b/>
          <w:bCs/>
          <w:i/>
          <w:iCs/>
          <w:color w:val="C00000"/>
          <w:sz w:val="23"/>
          <w:szCs w:val="23"/>
        </w:rPr>
        <w:t>Target High Risk Goods</w:t>
      </w:r>
    </w:p>
    <w:p w14:paraId="21C0DBD5" w14:textId="4C1B3206" w:rsidR="000373A7" w:rsidRPr="00E46D89" w:rsidRDefault="000373A7" w:rsidP="000373A7">
      <w:pPr>
        <w:pStyle w:val="Default"/>
        <w:rPr>
          <w:b/>
          <w:bCs/>
          <w:i/>
          <w:iCs/>
          <w:color w:val="C00000"/>
          <w:sz w:val="23"/>
          <w:szCs w:val="23"/>
        </w:rPr>
      </w:pPr>
      <w:r w:rsidRPr="00E46D89">
        <w:rPr>
          <w:rFonts w:ascii="Calibri" w:hAnsi="Calibri"/>
          <w:i/>
          <w:sz w:val="21"/>
          <w:szCs w:val="21"/>
          <w:shd w:val="clear" w:color="auto" w:fill="FFFFFF"/>
        </w:rPr>
        <w:t>Goods that fall within the tariff classifications</w:t>
      </w:r>
      <w:r>
        <w:rPr>
          <w:rFonts w:ascii="Calibri" w:hAnsi="Calibri"/>
          <w:i/>
          <w:sz w:val="21"/>
          <w:szCs w:val="21"/>
          <w:shd w:val="clear" w:color="auto" w:fill="FFFFFF"/>
        </w:rPr>
        <w:t xml:space="preserve"> as advised per the below </w:t>
      </w:r>
      <w:r w:rsidR="00381F21">
        <w:rPr>
          <w:rFonts w:ascii="Calibri" w:hAnsi="Calibri"/>
          <w:i/>
          <w:sz w:val="21"/>
          <w:szCs w:val="21"/>
          <w:shd w:val="clear" w:color="auto" w:fill="FFFFFF"/>
        </w:rPr>
        <w:t>DAFF</w:t>
      </w:r>
      <w:r>
        <w:rPr>
          <w:rFonts w:ascii="Calibri" w:hAnsi="Calibri"/>
          <w:i/>
          <w:sz w:val="21"/>
          <w:szCs w:val="21"/>
          <w:shd w:val="clear" w:color="auto" w:fill="FFFFFF"/>
        </w:rPr>
        <w:t xml:space="preserve"> link,</w:t>
      </w:r>
      <w:r w:rsidRPr="00E46D89">
        <w:rPr>
          <w:rFonts w:ascii="Calibri" w:hAnsi="Calibri"/>
          <w:i/>
          <w:sz w:val="21"/>
          <w:szCs w:val="21"/>
          <w:shd w:val="clear" w:color="auto" w:fill="FFFFFF"/>
        </w:rPr>
        <w:t xml:space="preserve"> have been categorised as target high risk goods</w:t>
      </w:r>
      <w:r>
        <w:rPr>
          <w:rFonts w:ascii="Calibri" w:hAnsi="Calibri"/>
          <w:i/>
          <w:sz w:val="21"/>
          <w:szCs w:val="21"/>
          <w:shd w:val="clear" w:color="auto" w:fill="FFFFFF"/>
        </w:rPr>
        <w:t>,</w:t>
      </w:r>
      <w:r w:rsidRPr="00E46D89">
        <w:rPr>
          <w:rFonts w:ascii="Calibri" w:hAnsi="Calibri"/>
          <w:i/>
          <w:sz w:val="21"/>
          <w:szCs w:val="21"/>
          <w:shd w:val="clear" w:color="auto" w:fill="FFFFFF"/>
        </w:rPr>
        <w:t xml:space="preserve"> and will require mandatory treatment for BMSB risk.</w:t>
      </w:r>
    </w:p>
    <w:bookmarkStart w:id="1" w:name="_Hlk43989730"/>
    <w:p w14:paraId="60C5AA9B" w14:textId="22CDCC81" w:rsidR="00D87102" w:rsidRDefault="00690D4F" w:rsidP="000373A7">
      <w:pPr>
        <w:pStyle w:val="Default"/>
        <w:rPr>
          <w:rFonts w:asciiTheme="majorHAnsi" w:hAnsiTheme="majorHAnsi"/>
          <w:i/>
          <w:iCs/>
          <w:sz w:val="21"/>
          <w:szCs w:val="21"/>
          <w:lang w:val="en-US"/>
        </w:rPr>
      </w:pPr>
      <w:r>
        <w:rPr>
          <w:rFonts w:asciiTheme="majorHAnsi" w:hAnsiTheme="majorHAnsi"/>
          <w:i/>
          <w:iCs/>
          <w:sz w:val="21"/>
          <w:szCs w:val="21"/>
          <w:lang w:val="en-US"/>
        </w:rPr>
        <w:fldChar w:fldCharType="begin"/>
      </w:r>
      <w:r>
        <w:rPr>
          <w:rFonts w:asciiTheme="majorHAnsi" w:hAnsiTheme="majorHAnsi"/>
          <w:i/>
          <w:iCs/>
          <w:sz w:val="21"/>
          <w:szCs w:val="21"/>
          <w:lang w:val="en-US"/>
        </w:rPr>
        <w:instrText xml:space="preserve"> HYPERLINK "https://www.agriculture.gov.au/import/before/brown-marmorated-stink-bugs" \l "what-goods-are-subject-to-the-measures" </w:instrText>
      </w:r>
      <w:r>
        <w:rPr>
          <w:rFonts w:asciiTheme="majorHAnsi" w:hAnsiTheme="majorHAnsi"/>
          <w:i/>
          <w:iCs/>
          <w:sz w:val="21"/>
          <w:szCs w:val="21"/>
          <w:lang w:val="en-US"/>
        </w:rPr>
        <w:fldChar w:fldCharType="separate"/>
      </w:r>
      <w:bookmarkEnd w:id="1"/>
      <w:r w:rsidR="00DB6AC1" w:rsidRPr="00DB6AC1">
        <w:rPr>
          <w:rStyle w:val="Hyperlink"/>
          <w:rFonts w:asciiTheme="majorHAnsi" w:hAnsiTheme="majorHAnsi"/>
          <w:i/>
          <w:iCs/>
          <w:sz w:val="21"/>
          <w:szCs w:val="21"/>
          <w:lang w:val="en-US"/>
        </w:rPr>
        <w:t>https://www.agriculture.gov.au/biosecurity-trade/import/before/brown-marmorated-stink-bugs#collapsible_inner_link_target-high-risk</w:t>
      </w:r>
      <w:r>
        <w:rPr>
          <w:rFonts w:asciiTheme="majorHAnsi" w:hAnsiTheme="majorHAnsi"/>
          <w:i/>
          <w:iCs/>
          <w:sz w:val="21"/>
          <w:szCs w:val="21"/>
          <w:lang w:val="en-US"/>
        </w:rPr>
        <w:fldChar w:fldCharType="end"/>
      </w:r>
    </w:p>
    <w:p w14:paraId="4C2B478E" w14:textId="77777777" w:rsidR="00DB6AC1" w:rsidRDefault="00DB6AC1" w:rsidP="000373A7">
      <w:pPr>
        <w:pStyle w:val="Default"/>
        <w:rPr>
          <w:b/>
          <w:bCs/>
          <w:i/>
          <w:iCs/>
          <w:color w:val="C00000"/>
          <w:sz w:val="23"/>
          <w:szCs w:val="23"/>
        </w:rPr>
      </w:pPr>
    </w:p>
    <w:tbl>
      <w:tblPr>
        <w:tblW w:w="943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145"/>
        <w:gridCol w:w="3146"/>
        <w:gridCol w:w="3144"/>
      </w:tblGrid>
      <w:tr w:rsidR="002D034C" w14:paraId="7F99E681" w14:textId="77777777" w:rsidTr="002D034C">
        <w:trPr>
          <w:trHeight w:val="444"/>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1A2EDAA5" w14:textId="4C5BFB28" w:rsidR="002D034C" w:rsidRPr="00D353C5" w:rsidRDefault="002D034C" w:rsidP="002D034C">
            <w:pPr>
              <w:pStyle w:val="NormalWeb"/>
            </w:pPr>
            <w:r>
              <w:rPr>
                <w:b/>
                <w:bCs/>
                <w:sz w:val="20"/>
                <w:szCs w:val="20"/>
              </w:rPr>
              <w:t>44</w:t>
            </w:r>
            <w:r>
              <w:rPr>
                <w:sz w:val="20"/>
                <w:szCs w:val="20"/>
              </w:rPr>
              <w:t xml:space="preserve"> - Wood and articles of wood</w:t>
            </w:r>
          </w:p>
        </w:tc>
        <w:tc>
          <w:tcPr>
            <w:tcW w:w="1667" w:type="pct"/>
            <w:tcBorders>
              <w:top w:val="outset" w:sz="6" w:space="0" w:color="auto"/>
              <w:left w:val="outset" w:sz="6" w:space="0" w:color="auto"/>
              <w:bottom w:val="outset" w:sz="6" w:space="0" w:color="auto"/>
              <w:right w:val="outset" w:sz="6" w:space="0" w:color="auto"/>
            </w:tcBorders>
            <w:vAlign w:val="center"/>
            <w:hideMark/>
          </w:tcPr>
          <w:p w14:paraId="1286B9B8" w14:textId="77777777" w:rsidR="002D034C" w:rsidRDefault="002D034C" w:rsidP="002D034C">
            <w:pPr>
              <w:pStyle w:val="NormalWeb"/>
            </w:pPr>
            <w:r>
              <w:rPr>
                <w:b/>
                <w:bCs/>
                <w:sz w:val="20"/>
                <w:szCs w:val="20"/>
              </w:rPr>
              <w:t>74</w:t>
            </w:r>
            <w:r>
              <w:rPr>
                <w:sz w:val="20"/>
                <w:szCs w:val="20"/>
              </w:rPr>
              <w:t xml:space="preserve"> - Copper and articles thereof</w:t>
            </w:r>
          </w:p>
        </w:tc>
        <w:tc>
          <w:tcPr>
            <w:tcW w:w="1666" w:type="pct"/>
            <w:tcBorders>
              <w:top w:val="outset" w:sz="6" w:space="0" w:color="auto"/>
              <w:left w:val="outset" w:sz="6" w:space="0" w:color="auto"/>
              <w:bottom w:val="outset" w:sz="6" w:space="0" w:color="auto"/>
              <w:right w:val="outset" w:sz="6" w:space="0" w:color="auto"/>
            </w:tcBorders>
            <w:vAlign w:val="center"/>
            <w:hideMark/>
          </w:tcPr>
          <w:p w14:paraId="558F9026" w14:textId="77777777" w:rsidR="002D034C" w:rsidRDefault="002D034C" w:rsidP="002D034C">
            <w:pPr>
              <w:pStyle w:val="NormalWeb"/>
            </w:pPr>
            <w:r>
              <w:rPr>
                <w:b/>
                <w:bCs/>
                <w:sz w:val="20"/>
                <w:szCs w:val="20"/>
              </w:rPr>
              <w:t>83</w:t>
            </w:r>
            <w:r>
              <w:rPr>
                <w:sz w:val="20"/>
                <w:szCs w:val="20"/>
              </w:rPr>
              <w:t xml:space="preserve"> - Miscellaneous articles of base metals</w:t>
            </w:r>
          </w:p>
        </w:tc>
      </w:tr>
      <w:tr w:rsidR="002D034C" w14:paraId="22D069CD" w14:textId="77777777" w:rsidTr="002D034C">
        <w:trPr>
          <w:trHeight w:val="658"/>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4E2CE7DC" w14:textId="7FBEF9A8" w:rsidR="002D034C" w:rsidRDefault="002D034C" w:rsidP="002D034C">
            <w:pPr>
              <w:pStyle w:val="NormalWeb"/>
            </w:pPr>
            <w:r>
              <w:rPr>
                <w:b/>
                <w:bCs/>
                <w:sz w:val="20"/>
                <w:szCs w:val="20"/>
              </w:rPr>
              <w:t>45</w:t>
            </w:r>
            <w:r>
              <w:rPr>
                <w:sz w:val="20"/>
                <w:szCs w:val="20"/>
              </w:rPr>
              <w:t xml:space="preserve"> - Cork and articles of cork</w:t>
            </w:r>
          </w:p>
        </w:tc>
        <w:tc>
          <w:tcPr>
            <w:tcW w:w="1667" w:type="pct"/>
            <w:tcBorders>
              <w:top w:val="outset" w:sz="6" w:space="0" w:color="auto"/>
              <w:left w:val="outset" w:sz="6" w:space="0" w:color="auto"/>
              <w:bottom w:val="outset" w:sz="6" w:space="0" w:color="auto"/>
              <w:right w:val="outset" w:sz="6" w:space="0" w:color="auto"/>
            </w:tcBorders>
            <w:vAlign w:val="center"/>
            <w:hideMark/>
          </w:tcPr>
          <w:p w14:paraId="2BC7CCA6" w14:textId="77777777" w:rsidR="002D034C" w:rsidRDefault="002D034C" w:rsidP="002D034C">
            <w:pPr>
              <w:pStyle w:val="NormalWeb"/>
            </w:pPr>
            <w:r>
              <w:rPr>
                <w:b/>
                <w:bCs/>
                <w:sz w:val="20"/>
                <w:szCs w:val="20"/>
              </w:rPr>
              <w:t>75</w:t>
            </w:r>
            <w:r>
              <w:rPr>
                <w:sz w:val="20"/>
                <w:szCs w:val="20"/>
              </w:rPr>
              <w:t xml:space="preserve"> - Nickel and articles thereof</w:t>
            </w:r>
          </w:p>
        </w:tc>
        <w:tc>
          <w:tcPr>
            <w:tcW w:w="1666" w:type="pct"/>
            <w:tcBorders>
              <w:top w:val="outset" w:sz="6" w:space="0" w:color="auto"/>
              <w:left w:val="outset" w:sz="6" w:space="0" w:color="auto"/>
              <w:bottom w:val="outset" w:sz="6" w:space="0" w:color="auto"/>
              <w:right w:val="outset" w:sz="6" w:space="0" w:color="auto"/>
            </w:tcBorders>
            <w:vAlign w:val="center"/>
            <w:hideMark/>
          </w:tcPr>
          <w:p w14:paraId="2B02BB19" w14:textId="77777777" w:rsidR="002D034C" w:rsidRDefault="002D034C" w:rsidP="002D034C">
            <w:pPr>
              <w:pStyle w:val="NormalWeb"/>
            </w:pPr>
            <w:r>
              <w:rPr>
                <w:b/>
                <w:bCs/>
                <w:sz w:val="20"/>
                <w:szCs w:val="20"/>
              </w:rPr>
              <w:t>84</w:t>
            </w:r>
            <w:r>
              <w:rPr>
                <w:sz w:val="20"/>
                <w:szCs w:val="20"/>
              </w:rPr>
              <w:t xml:space="preserve"> - Nuclear reactors, boilers, machinery and mechanical appliances; parts thereof</w:t>
            </w:r>
          </w:p>
        </w:tc>
      </w:tr>
      <w:tr w:rsidR="002D034C" w14:paraId="1E310830" w14:textId="77777777" w:rsidTr="002D034C">
        <w:trPr>
          <w:trHeight w:val="429"/>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3077AE66" w14:textId="5C7C90D9" w:rsidR="002D034C" w:rsidRDefault="002D034C" w:rsidP="002D034C">
            <w:pPr>
              <w:pStyle w:val="NormalWeb"/>
            </w:pPr>
            <w:r>
              <w:rPr>
                <w:b/>
                <w:bCs/>
                <w:sz w:val="20"/>
                <w:szCs w:val="20"/>
              </w:rPr>
              <w:t>57</w:t>
            </w:r>
            <w:r>
              <w:rPr>
                <w:sz w:val="20"/>
                <w:szCs w:val="20"/>
              </w:rPr>
              <w:t xml:space="preserve"> - Carpets and other textile floor coverings</w:t>
            </w:r>
          </w:p>
        </w:tc>
        <w:tc>
          <w:tcPr>
            <w:tcW w:w="1667" w:type="pct"/>
            <w:tcBorders>
              <w:top w:val="outset" w:sz="6" w:space="0" w:color="auto"/>
              <w:left w:val="outset" w:sz="6" w:space="0" w:color="auto"/>
              <w:bottom w:val="outset" w:sz="6" w:space="0" w:color="auto"/>
              <w:right w:val="outset" w:sz="6" w:space="0" w:color="auto"/>
            </w:tcBorders>
            <w:vAlign w:val="center"/>
            <w:hideMark/>
          </w:tcPr>
          <w:p w14:paraId="7A6A391F" w14:textId="50F53D3F" w:rsidR="002D034C" w:rsidRDefault="002D034C" w:rsidP="002D034C">
            <w:pPr>
              <w:pStyle w:val="NormalWeb"/>
            </w:pPr>
            <w:r>
              <w:rPr>
                <w:b/>
                <w:bCs/>
                <w:sz w:val="20"/>
                <w:szCs w:val="20"/>
              </w:rPr>
              <w:t>76</w:t>
            </w:r>
            <w:r>
              <w:rPr>
                <w:sz w:val="20"/>
                <w:szCs w:val="20"/>
              </w:rPr>
              <w:t xml:space="preserve"> - </w:t>
            </w:r>
            <w:r w:rsidR="00E875AD">
              <w:rPr>
                <w:sz w:val="20"/>
                <w:szCs w:val="20"/>
              </w:rPr>
              <w:t>Aluminium</w:t>
            </w:r>
            <w:r>
              <w:rPr>
                <w:sz w:val="20"/>
                <w:szCs w:val="20"/>
              </w:rPr>
              <w:t xml:space="preserve"> and articles thereof</w:t>
            </w:r>
          </w:p>
        </w:tc>
        <w:tc>
          <w:tcPr>
            <w:tcW w:w="1666" w:type="pct"/>
            <w:tcBorders>
              <w:top w:val="outset" w:sz="6" w:space="0" w:color="auto"/>
              <w:left w:val="outset" w:sz="6" w:space="0" w:color="auto"/>
              <w:bottom w:val="outset" w:sz="6" w:space="0" w:color="auto"/>
              <w:right w:val="outset" w:sz="6" w:space="0" w:color="auto"/>
            </w:tcBorders>
            <w:vAlign w:val="center"/>
            <w:hideMark/>
          </w:tcPr>
          <w:p w14:paraId="581E51B2" w14:textId="77777777" w:rsidR="002D034C" w:rsidRDefault="002D034C" w:rsidP="002D034C">
            <w:pPr>
              <w:pStyle w:val="NormalWeb"/>
            </w:pPr>
            <w:r>
              <w:rPr>
                <w:b/>
                <w:bCs/>
                <w:sz w:val="20"/>
                <w:szCs w:val="20"/>
              </w:rPr>
              <w:t>85</w:t>
            </w:r>
            <w:r>
              <w:rPr>
                <w:sz w:val="20"/>
                <w:szCs w:val="20"/>
              </w:rPr>
              <w:t xml:space="preserve"> - Electrical machinery and equipment and parts thereof</w:t>
            </w:r>
          </w:p>
        </w:tc>
      </w:tr>
      <w:tr w:rsidR="002D034C" w14:paraId="664C33DB" w14:textId="77777777" w:rsidTr="002D034C">
        <w:trPr>
          <w:trHeight w:val="444"/>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5A13C9D7" w14:textId="31CDC78C" w:rsidR="002D034C" w:rsidRDefault="002D034C" w:rsidP="002D034C">
            <w:pPr>
              <w:pStyle w:val="NormalWeb"/>
            </w:pPr>
            <w:r>
              <w:rPr>
                <w:b/>
                <w:bCs/>
                <w:sz w:val="20"/>
                <w:szCs w:val="20"/>
              </w:rPr>
              <w:t>68</w:t>
            </w:r>
            <w:r>
              <w:rPr>
                <w:sz w:val="20"/>
                <w:szCs w:val="20"/>
              </w:rPr>
              <w:t xml:space="preserve"> - Articles of stone, plaster, cement, asbestos, mica or similar materials</w:t>
            </w:r>
          </w:p>
        </w:tc>
        <w:tc>
          <w:tcPr>
            <w:tcW w:w="1667" w:type="pct"/>
            <w:tcBorders>
              <w:top w:val="outset" w:sz="6" w:space="0" w:color="auto"/>
              <w:left w:val="outset" w:sz="6" w:space="0" w:color="auto"/>
              <w:bottom w:val="outset" w:sz="6" w:space="0" w:color="auto"/>
              <w:right w:val="outset" w:sz="6" w:space="0" w:color="auto"/>
            </w:tcBorders>
            <w:vAlign w:val="center"/>
            <w:hideMark/>
          </w:tcPr>
          <w:p w14:paraId="443323FB" w14:textId="77777777" w:rsidR="002D034C" w:rsidRDefault="002D034C" w:rsidP="002D034C">
            <w:pPr>
              <w:pStyle w:val="NormalWeb"/>
            </w:pPr>
            <w:r>
              <w:rPr>
                <w:b/>
                <w:bCs/>
                <w:sz w:val="20"/>
                <w:szCs w:val="20"/>
              </w:rPr>
              <w:t>78</w:t>
            </w:r>
            <w:r>
              <w:rPr>
                <w:sz w:val="20"/>
                <w:szCs w:val="20"/>
              </w:rPr>
              <w:t xml:space="preserve"> - Lead and articles thereof</w:t>
            </w:r>
          </w:p>
        </w:tc>
        <w:tc>
          <w:tcPr>
            <w:tcW w:w="1666" w:type="pct"/>
            <w:tcBorders>
              <w:top w:val="outset" w:sz="6" w:space="0" w:color="auto"/>
              <w:left w:val="outset" w:sz="6" w:space="0" w:color="auto"/>
              <w:bottom w:val="outset" w:sz="6" w:space="0" w:color="auto"/>
              <w:right w:val="outset" w:sz="6" w:space="0" w:color="auto"/>
            </w:tcBorders>
            <w:vAlign w:val="center"/>
            <w:hideMark/>
          </w:tcPr>
          <w:p w14:paraId="78F83D14" w14:textId="77777777" w:rsidR="002D034C" w:rsidRDefault="002D034C" w:rsidP="002D034C">
            <w:pPr>
              <w:pStyle w:val="NormalWeb"/>
            </w:pPr>
            <w:r>
              <w:rPr>
                <w:b/>
                <w:bCs/>
                <w:sz w:val="20"/>
                <w:szCs w:val="20"/>
              </w:rPr>
              <w:t>86</w:t>
            </w:r>
            <w:r>
              <w:rPr>
                <w:sz w:val="20"/>
                <w:szCs w:val="20"/>
              </w:rPr>
              <w:t xml:space="preserve"> - Railway or tramway locomotives, rolling-stock and parts thereof</w:t>
            </w:r>
          </w:p>
        </w:tc>
      </w:tr>
      <w:tr w:rsidR="002D034C" w14:paraId="4695D0F5" w14:textId="77777777" w:rsidTr="002D034C">
        <w:trPr>
          <w:trHeight w:val="658"/>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146E41B0" w14:textId="3E6D2338" w:rsidR="002D034C" w:rsidRDefault="002D034C" w:rsidP="002D034C">
            <w:pPr>
              <w:pStyle w:val="NormalWeb"/>
            </w:pPr>
            <w:r>
              <w:rPr>
                <w:b/>
                <w:bCs/>
                <w:sz w:val="20"/>
                <w:szCs w:val="20"/>
              </w:rPr>
              <w:t>69</w:t>
            </w:r>
            <w:r>
              <w:rPr>
                <w:sz w:val="20"/>
                <w:szCs w:val="20"/>
              </w:rPr>
              <w:t xml:space="preserve"> - Ceramic products</w:t>
            </w:r>
          </w:p>
        </w:tc>
        <w:tc>
          <w:tcPr>
            <w:tcW w:w="1667" w:type="pct"/>
            <w:tcBorders>
              <w:top w:val="outset" w:sz="6" w:space="0" w:color="auto"/>
              <w:left w:val="outset" w:sz="6" w:space="0" w:color="auto"/>
              <w:bottom w:val="outset" w:sz="6" w:space="0" w:color="auto"/>
              <w:right w:val="outset" w:sz="6" w:space="0" w:color="auto"/>
            </w:tcBorders>
            <w:vAlign w:val="center"/>
            <w:hideMark/>
          </w:tcPr>
          <w:p w14:paraId="64DAAA58" w14:textId="77777777" w:rsidR="002D034C" w:rsidRDefault="002D034C" w:rsidP="002D034C">
            <w:pPr>
              <w:pStyle w:val="NormalWeb"/>
            </w:pPr>
            <w:r>
              <w:rPr>
                <w:b/>
                <w:bCs/>
                <w:sz w:val="20"/>
                <w:szCs w:val="20"/>
              </w:rPr>
              <w:t>79</w:t>
            </w:r>
            <w:r>
              <w:rPr>
                <w:sz w:val="20"/>
                <w:szCs w:val="20"/>
              </w:rPr>
              <w:t xml:space="preserve"> - Zinc and articles thereof</w:t>
            </w:r>
          </w:p>
        </w:tc>
        <w:tc>
          <w:tcPr>
            <w:tcW w:w="1666" w:type="pct"/>
            <w:tcBorders>
              <w:top w:val="outset" w:sz="6" w:space="0" w:color="auto"/>
              <w:left w:val="outset" w:sz="6" w:space="0" w:color="auto"/>
              <w:bottom w:val="outset" w:sz="6" w:space="0" w:color="auto"/>
              <w:right w:val="outset" w:sz="6" w:space="0" w:color="auto"/>
            </w:tcBorders>
            <w:vAlign w:val="center"/>
            <w:hideMark/>
          </w:tcPr>
          <w:p w14:paraId="33C5CEA8" w14:textId="77777777" w:rsidR="002D034C" w:rsidRDefault="002D034C" w:rsidP="002D034C">
            <w:pPr>
              <w:pStyle w:val="NormalWeb"/>
            </w:pPr>
            <w:r>
              <w:rPr>
                <w:b/>
                <w:bCs/>
                <w:sz w:val="20"/>
                <w:szCs w:val="20"/>
              </w:rPr>
              <w:t xml:space="preserve">87 </w:t>
            </w:r>
            <w:r>
              <w:rPr>
                <w:sz w:val="20"/>
                <w:szCs w:val="20"/>
              </w:rPr>
              <w:t>- Vehicles other than railway or tramway rolling-stock, and parts and accessories thereof</w:t>
            </w:r>
          </w:p>
        </w:tc>
      </w:tr>
      <w:tr w:rsidR="002D034C" w14:paraId="620B55D3" w14:textId="77777777" w:rsidTr="002D034C">
        <w:trPr>
          <w:trHeight w:val="444"/>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7C7E1D3E" w14:textId="7BED019E" w:rsidR="002D034C" w:rsidRDefault="002D034C" w:rsidP="002D034C">
            <w:pPr>
              <w:pStyle w:val="NormalWeb"/>
            </w:pPr>
            <w:r>
              <w:rPr>
                <w:b/>
                <w:bCs/>
                <w:sz w:val="20"/>
                <w:szCs w:val="20"/>
              </w:rPr>
              <w:t>70</w:t>
            </w:r>
            <w:r>
              <w:rPr>
                <w:sz w:val="20"/>
                <w:szCs w:val="20"/>
              </w:rPr>
              <w:t xml:space="preserve"> – Glass and glass ware</w:t>
            </w:r>
          </w:p>
        </w:tc>
        <w:tc>
          <w:tcPr>
            <w:tcW w:w="1667" w:type="pct"/>
            <w:tcBorders>
              <w:top w:val="outset" w:sz="6" w:space="0" w:color="auto"/>
              <w:left w:val="outset" w:sz="6" w:space="0" w:color="auto"/>
              <w:bottom w:val="outset" w:sz="6" w:space="0" w:color="auto"/>
              <w:right w:val="outset" w:sz="6" w:space="0" w:color="auto"/>
            </w:tcBorders>
            <w:vAlign w:val="center"/>
            <w:hideMark/>
          </w:tcPr>
          <w:p w14:paraId="0D34D65A" w14:textId="77777777" w:rsidR="002D034C" w:rsidRDefault="002D034C" w:rsidP="002D034C">
            <w:pPr>
              <w:pStyle w:val="NormalWeb"/>
            </w:pPr>
            <w:r>
              <w:rPr>
                <w:b/>
                <w:bCs/>
                <w:sz w:val="20"/>
                <w:szCs w:val="20"/>
              </w:rPr>
              <w:t>80</w:t>
            </w:r>
            <w:r>
              <w:rPr>
                <w:sz w:val="20"/>
                <w:szCs w:val="20"/>
              </w:rPr>
              <w:t xml:space="preserve"> - Tin and articles thereof</w:t>
            </w:r>
          </w:p>
        </w:tc>
        <w:tc>
          <w:tcPr>
            <w:tcW w:w="1666" w:type="pct"/>
            <w:tcBorders>
              <w:top w:val="outset" w:sz="6" w:space="0" w:color="auto"/>
              <w:left w:val="outset" w:sz="6" w:space="0" w:color="auto"/>
              <w:bottom w:val="outset" w:sz="6" w:space="0" w:color="auto"/>
              <w:right w:val="outset" w:sz="6" w:space="0" w:color="auto"/>
            </w:tcBorders>
            <w:vAlign w:val="center"/>
            <w:hideMark/>
          </w:tcPr>
          <w:p w14:paraId="3F0FF3DE" w14:textId="77777777" w:rsidR="002D034C" w:rsidRDefault="002D034C" w:rsidP="002D034C">
            <w:pPr>
              <w:pStyle w:val="NormalWeb"/>
            </w:pPr>
            <w:r>
              <w:rPr>
                <w:b/>
                <w:bCs/>
                <w:sz w:val="20"/>
                <w:szCs w:val="20"/>
              </w:rPr>
              <w:t>88</w:t>
            </w:r>
            <w:r>
              <w:rPr>
                <w:sz w:val="20"/>
                <w:szCs w:val="20"/>
              </w:rPr>
              <w:t xml:space="preserve"> - Aircraft, spacecraft, and parts thereof</w:t>
            </w:r>
          </w:p>
        </w:tc>
      </w:tr>
      <w:tr w:rsidR="002D034C" w14:paraId="7E47A0A0" w14:textId="77777777" w:rsidTr="002D034C">
        <w:trPr>
          <w:trHeight w:val="214"/>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67E8791C" w14:textId="4E640847" w:rsidR="002D034C" w:rsidRDefault="002D034C" w:rsidP="002D034C">
            <w:pPr>
              <w:pStyle w:val="NormalWeb"/>
            </w:pPr>
            <w:r>
              <w:rPr>
                <w:b/>
                <w:bCs/>
                <w:sz w:val="20"/>
                <w:szCs w:val="20"/>
              </w:rPr>
              <w:t>72</w:t>
            </w:r>
            <w:r>
              <w:rPr>
                <w:sz w:val="20"/>
                <w:szCs w:val="20"/>
              </w:rPr>
              <w:t xml:space="preserve"> - Iron and steel </w:t>
            </w:r>
          </w:p>
        </w:tc>
        <w:tc>
          <w:tcPr>
            <w:tcW w:w="1667" w:type="pct"/>
            <w:tcBorders>
              <w:top w:val="outset" w:sz="6" w:space="0" w:color="auto"/>
              <w:left w:val="outset" w:sz="6" w:space="0" w:color="auto"/>
              <w:bottom w:val="outset" w:sz="6" w:space="0" w:color="auto"/>
              <w:right w:val="outset" w:sz="6" w:space="0" w:color="auto"/>
            </w:tcBorders>
            <w:vAlign w:val="center"/>
            <w:hideMark/>
          </w:tcPr>
          <w:p w14:paraId="5C7B11DE" w14:textId="77777777" w:rsidR="002D034C" w:rsidRDefault="002D034C" w:rsidP="002D034C">
            <w:pPr>
              <w:pStyle w:val="NormalWeb"/>
            </w:pPr>
            <w:r>
              <w:rPr>
                <w:b/>
                <w:bCs/>
                <w:sz w:val="20"/>
                <w:szCs w:val="20"/>
              </w:rPr>
              <w:t>81</w:t>
            </w:r>
            <w:r>
              <w:rPr>
                <w:sz w:val="20"/>
                <w:szCs w:val="20"/>
              </w:rPr>
              <w:t xml:space="preserve"> - Other base metals; cermet’s</w:t>
            </w:r>
          </w:p>
        </w:tc>
        <w:tc>
          <w:tcPr>
            <w:tcW w:w="1666" w:type="pct"/>
            <w:tcBorders>
              <w:top w:val="outset" w:sz="6" w:space="0" w:color="auto"/>
              <w:left w:val="outset" w:sz="6" w:space="0" w:color="auto"/>
              <w:bottom w:val="outset" w:sz="6" w:space="0" w:color="auto"/>
              <w:right w:val="outset" w:sz="6" w:space="0" w:color="auto"/>
            </w:tcBorders>
            <w:vAlign w:val="center"/>
            <w:hideMark/>
          </w:tcPr>
          <w:p w14:paraId="786964A9" w14:textId="77777777" w:rsidR="002D034C" w:rsidRDefault="002D034C" w:rsidP="002D034C">
            <w:pPr>
              <w:pStyle w:val="NormalWeb"/>
            </w:pPr>
            <w:r>
              <w:rPr>
                <w:b/>
                <w:bCs/>
                <w:sz w:val="20"/>
                <w:szCs w:val="20"/>
              </w:rPr>
              <w:t>89</w:t>
            </w:r>
            <w:r>
              <w:rPr>
                <w:sz w:val="20"/>
                <w:szCs w:val="20"/>
              </w:rPr>
              <w:t xml:space="preserve"> - Ships, boats and floating structures</w:t>
            </w:r>
          </w:p>
        </w:tc>
      </w:tr>
      <w:tr w:rsidR="002D034C" w14:paraId="31537E97" w14:textId="77777777" w:rsidTr="002D034C">
        <w:trPr>
          <w:trHeight w:val="444"/>
          <w:tblCellSpacing w:w="0" w:type="dxa"/>
        </w:trPr>
        <w:tc>
          <w:tcPr>
            <w:tcW w:w="1667" w:type="pct"/>
            <w:tcBorders>
              <w:top w:val="outset" w:sz="6" w:space="0" w:color="auto"/>
              <w:left w:val="outset" w:sz="6" w:space="0" w:color="auto"/>
              <w:bottom w:val="outset" w:sz="6" w:space="0" w:color="auto"/>
              <w:right w:val="outset" w:sz="6" w:space="0" w:color="auto"/>
            </w:tcBorders>
            <w:vAlign w:val="center"/>
          </w:tcPr>
          <w:p w14:paraId="1CEA166F" w14:textId="6E9E6BA0" w:rsidR="002D034C" w:rsidRDefault="002D034C" w:rsidP="002D034C">
            <w:pPr>
              <w:pStyle w:val="NormalWeb"/>
            </w:pPr>
            <w:r>
              <w:rPr>
                <w:b/>
                <w:bCs/>
                <w:sz w:val="20"/>
                <w:szCs w:val="20"/>
              </w:rPr>
              <w:t>73</w:t>
            </w:r>
            <w:r>
              <w:rPr>
                <w:sz w:val="20"/>
                <w:szCs w:val="20"/>
              </w:rPr>
              <w:t xml:space="preserve"> - Articles of iron or steel</w:t>
            </w:r>
          </w:p>
        </w:tc>
        <w:tc>
          <w:tcPr>
            <w:tcW w:w="1667" w:type="pct"/>
            <w:tcBorders>
              <w:top w:val="outset" w:sz="6" w:space="0" w:color="auto"/>
              <w:left w:val="outset" w:sz="6" w:space="0" w:color="auto"/>
              <w:bottom w:val="outset" w:sz="6" w:space="0" w:color="auto"/>
              <w:right w:val="outset" w:sz="6" w:space="0" w:color="auto"/>
            </w:tcBorders>
            <w:vAlign w:val="center"/>
            <w:hideMark/>
          </w:tcPr>
          <w:p w14:paraId="5B6B60FC" w14:textId="77777777" w:rsidR="002D034C" w:rsidRDefault="002D034C" w:rsidP="002D034C">
            <w:pPr>
              <w:pStyle w:val="NormalWeb"/>
            </w:pPr>
            <w:r>
              <w:rPr>
                <w:b/>
                <w:bCs/>
                <w:sz w:val="20"/>
                <w:szCs w:val="20"/>
              </w:rPr>
              <w:t>82</w:t>
            </w:r>
            <w:r>
              <w:rPr>
                <w:sz w:val="20"/>
                <w:szCs w:val="20"/>
              </w:rPr>
              <w:t xml:space="preserve"> - Tools, implements, cutlery, spoons and forks, of base metal</w:t>
            </w:r>
          </w:p>
        </w:tc>
        <w:tc>
          <w:tcPr>
            <w:tcW w:w="1666" w:type="pct"/>
            <w:tcBorders>
              <w:top w:val="outset" w:sz="6" w:space="0" w:color="auto"/>
              <w:left w:val="outset" w:sz="6" w:space="0" w:color="auto"/>
              <w:bottom w:val="outset" w:sz="6" w:space="0" w:color="auto"/>
              <w:right w:val="outset" w:sz="6" w:space="0" w:color="auto"/>
            </w:tcBorders>
            <w:vAlign w:val="center"/>
            <w:hideMark/>
          </w:tcPr>
          <w:p w14:paraId="41749A62" w14:textId="69057534" w:rsidR="002D034C" w:rsidRPr="00D353C5" w:rsidRDefault="002D034C" w:rsidP="002D034C">
            <w:pPr>
              <w:pStyle w:val="NormalWeb"/>
            </w:pPr>
          </w:p>
        </w:tc>
      </w:tr>
    </w:tbl>
    <w:p w14:paraId="6413F826" w14:textId="281E2C4E" w:rsidR="000373A7" w:rsidRPr="00994394" w:rsidRDefault="00994394" w:rsidP="000373A7">
      <w:pPr>
        <w:pStyle w:val="Default"/>
        <w:rPr>
          <w:b/>
          <w:bCs/>
          <w:i/>
          <w:iCs/>
          <w:color w:val="C00000"/>
          <w:sz w:val="20"/>
          <w:szCs w:val="20"/>
        </w:rPr>
      </w:pPr>
      <w:r w:rsidRPr="00994394">
        <w:rPr>
          <w:b/>
          <w:bCs/>
          <w:i/>
          <w:iCs/>
          <w:color w:val="C00000"/>
          <w:sz w:val="20"/>
          <w:szCs w:val="20"/>
        </w:rPr>
        <w:t>** Chapters 94 and 95 will be subject to random inspections for emerging risk countries</w:t>
      </w:r>
    </w:p>
    <w:p w14:paraId="6D23A464" w14:textId="77777777" w:rsidR="000373A7" w:rsidRDefault="000373A7" w:rsidP="000373A7">
      <w:pPr>
        <w:pStyle w:val="Default"/>
        <w:rPr>
          <w:b/>
          <w:bCs/>
          <w:i/>
          <w:iCs/>
          <w:color w:val="C00000"/>
          <w:sz w:val="23"/>
          <w:szCs w:val="23"/>
        </w:rPr>
      </w:pPr>
    </w:p>
    <w:p w14:paraId="0DB277DB" w14:textId="77777777" w:rsidR="000373A7" w:rsidRDefault="000373A7" w:rsidP="000373A7">
      <w:pPr>
        <w:pStyle w:val="Default"/>
        <w:rPr>
          <w:b/>
          <w:bCs/>
          <w:i/>
          <w:iCs/>
          <w:color w:val="C00000"/>
          <w:sz w:val="23"/>
          <w:szCs w:val="23"/>
        </w:rPr>
      </w:pPr>
      <w:r w:rsidRPr="00E46D89">
        <w:rPr>
          <w:b/>
          <w:bCs/>
          <w:i/>
          <w:iCs/>
          <w:color w:val="C00000"/>
          <w:sz w:val="23"/>
          <w:szCs w:val="23"/>
        </w:rPr>
        <w:t>Target Risk Goods</w:t>
      </w:r>
    </w:p>
    <w:p w14:paraId="12ACB53F" w14:textId="6E7E036E" w:rsidR="000373A7" w:rsidRPr="00E46D89" w:rsidRDefault="000373A7" w:rsidP="000373A7">
      <w:pPr>
        <w:pStyle w:val="Default"/>
        <w:rPr>
          <w:b/>
          <w:bCs/>
          <w:i/>
          <w:iCs/>
          <w:color w:val="C00000"/>
          <w:sz w:val="23"/>
          <w:szCs w:val="23"/>
        </w:rPr>
      </w:pPr>
      <w:r w:rsidRPr="00E46D89">
        <w:rPr>
          <w:rFonts w:ascii="Calibri" w:hAnsi="Calibri"/>
          <w:i/>
          <w:sz w:val="21"/>
          <w:szCs w:val="21"/>
          <w:shd w:val="clear" w:color="auto" w:fill="FFFFFF"/>
        </w:rPr>
        <w:t xml:space="preserve">Goods that fall within the tariff classifications </w:t>
      </w:r>
      <w:r w:rsidRPr="00741DA5">
        <w:rPr>
          <w:rFonts w:ascii="Calibri" w:hAnsi="Calibri"/>
          <w:i/>
          <w:sz w:val="21"/>
          <w:szCs w:val="21"/>
          <w:shd w:val="clear" w:color="auto" w:fill="FFFFFF"/>
        </w:rPr>
        <w:t xml:space="preserve">as advised per the below </w:t>
      </w:r>
      <w:r w:rsidR="00381F21">
        <w:rPr>
          <w:rFonts w:ascii="Calibri" w:hAnsi="Calibri"/>
          <w:i/>
          <w:sz w:val="21"/>
          <w:szCs w:val="21"/>
          <w:shd w:val="clear" w:color="auto" w:fill="FFFFFF"/>
        </w:rPr>
        <w:t>DAFF</w:t>
      </w:r>
      <w:r w:rsidRPr="00741DA5">
        <w:rPr>
          <w:rFonts w:ascii="Calibri" w:hAnsi="Calibri"/>
          <w:i/>
          <w:sz w:val="21"/>
          <w:szCs w:val="21"/>
          <w:shd w:val="clear" w:color="auto" w:fill="FFFFFF"/>
        </w:rPr>
        <w:t xml:space="preserve"> link,</w:t>
      </w:r>
      <w:r>
        <w:rPr>
          <w:rFonts w:ascii="Calibri" w:hAnsi="Calibri"/>
          <w:i/>
          <w:sz w:val="21"/>
          <w:szCs w:val="21"/>
          <w:shd w:val="clear" w:color="auto" w:fill="FFFFFF"/>
        </w:rPr>
        <w:t xml:space="preserve"> </w:t>
      </w:r>
      <w:r w:rsidRPr="00E46D89">
        <w:rPr>
          <w:rFonts w:ascii="Calibri" w:hAnsi="Calibri"/>
          <w:i/>
          <w:sz w:val="21"/>
          <w:szCs w:val="21"/>
          <w:shd w:val="clear" w:color="auto" w:fill="FFFFFF"/>
        </w:rPr>
        <w:t>have been categorised as target risk goods</w:t>
      </w:r>
      <w:r>
        <w:rPr>
          <w:rFonts w:ascii="Calibri" w:hAnsi="Calibri"/>
          <w:i/>
          <w:sz w:val="21"/>
          <w:szCs w:val="21"/>
          <w:shd w:val="clear" w:color="auto" w:fill="FFFFFF"/>
        </w:rPr>
        <w:t>,</w:t>
      </w:r>
      <w:r w:rsidRPr="00E46D89">
        <w:rPr>
          <w:rFonts w:ascii="Calibri" w:hAnsi="Calibri"/>
          <w:i/>
          <w:sz w:val="21"/>
          <w:szCs w:val="21"/>
          <w:shd w:val="clear" w:color="auto" w:fill="FFFFFF"/>
        </w:rPr>
        <w:t xml:space="preserve"> and will not require mandatory treatment. Target risk goods will however be subject to increased onshore intervention through random inspection</w:t>
      </w:r>
    </w:p>
    <w:p w14:paraId="077A203D" w14:textId="1A3B9AE1" w:rsidR="008B42B2" w:rsidRDefault="00381F21" w:rsidP="000373A7">
      <w:pPr>
        <w:pStyle w:val="Default"/>
        <w:rPr>
          <w:rFonts w:asciiTheme="majorHAnsi" w:hAnsiTheme="majorHAnsi"/>
          <w:i/>
          <w:iCs/>
          <w:sz w:val="21"/>
          <w:szCs w:val="21"/>
          <w:lang w:val="en-US"/>
        </w:rPr>
      </w:pPr>
      <w:hyperlink r:id="rId14" w:anchor="collapsible_inner_link_target-risk" w:history="1">
        <w:r w:rsidR="00DB6AC1" w:rsidRPr="00824A07">
          <w:rPr>
            <w:rStyle w:val="Hyperlink"/>
            <w:rFonts w:asciiTheme="majorHAnsi" w:hAnsiTheme="majorHAnsi"/>
            <w:i/>
            <w:iCs/>
            <w:sz w:val="21"/>
            <w:szCs w:val="21"/>
            <w:lang w:val="en-US"/>
          </w:rPr>
          <w:t>https://www.agriculture.gov.au/biosecurity-trade/import/before/brown-marmorated-stink-bugs#collapsible_inner_link_target-risk</w:t>
        </w:r>
      </w:hyperlink>
    </w:p>
    <w:p w14:paraId="23FCB9D6" w14:textId="77777777" w:rsidR="00DB6AC1" w:rsidRDefault="00DB6AC1" w:rsidP="000373A7">
      <w:pPr>
        <w:pStyle w:val="Default"/>
        <w:rPr>
          <w:rFonts w:ascii="Calibri" w:hAnsi="Calibri"/>
          <w:i/>
          <w:sz w:val="21"/>
          <w:szCs w:val="21"/>
          <w:shd w:val="clear" w:color="auto" w:fill="FFFFFF"/>
        </w:rPr>
      </w:pPr>
    </w:p>
    <w:p w14:paraId="0211E695" w14:textId="25AD614A" w:rsidR="000373A7" w:rsidRPr="00130EFB" w:rsidRDefault="000373A7" w:rsidP="000373A7">
      <w:pPr>
        <w:pStyle w:val="Default"/>
        <w:rPr>
          <w:b/>
          <w:bCs/>
          <w:i/>
          <w:iCs/>
          <w:color w:val="C00000"/>
          <w:sz w:val="23"/>
          <w:szCs w:val="23"/>
        </w:rPr>
      </w:pPr>
      <w:r>
        <w:rPr>
          <w:rFonts w:ascii="Calibri" w:hAnsi="Calibri"/>
          <w:i/>
          <w:sz w:val="21"/>
          <w:szCs w:val="21"/>
          <w:shd w:val="clear" w:color="auto" w:fill="FFFFFF"/>
        </w:rPr>
        <w:t xml:space="preserve">** </w:t>
      </w:r>
      <w:r w:rsidRPr="00130EFB">
        <w:rPr>
          <w:rFonts w:ascii="Calibri" w:hAnsi="Calibri"/>
          <w:i/>
          <w:sz w:val="21"/>
          <w:szCs w:val="21"/>
          <w:shd w:val="clear" w:color="auto" w:fill="FFFFFF"/>
        </w:rPr>
        <w:t>For all other goods th</w:t>
      </w:r>
      <w:r>
        <w:rPr>
          <w:rFonts w:ascii="Calibri" w:hAnsi="Calibri"/>
          <w:i/>
          <w:sz w:val="21"/>
          <w:szCs w:val="21"/>
          <w:shd w:val="clear" w:color="auto" w:fill="FFFFFF"/>
        </w:rPr>
        <w:t>at are not categorised as “Target High R</w:t>
      </w:r>
      <w:r w:rsidRPr="00130EFB">
        <w:rPr>
          <w:rFonts w:ascii="Calibri" w:hAnsi="Calibri"/>
          <w:i/>
          <w:sz w:val="21"/>
          <w:szCs w:val="21"/>
          <w:shd w:val="clear" w:color="auto" w:fill="FFFFFF"/>
        </w:rPr>
        <w:t>isk</w:t>
      </w:r>
      <w:r>
        <w:rPr>
          <w:rFonts w:ascii="Calibri" w:hAnsi="Calibri"/>
          <w:i/>
          <w:sz w:val="21"/>
          <w:szCs w:val="21"/>
          <w:shd w:val="clear" w:color="auto" w:fill="FFFFFF"/>
        </w:rPr>
        <w:t>”</w:t>
      </w:r>
      <w:r w:rsidRPr="00130EFB">
        <w:rPr>
          <w:rFonts w:ascii="Calibri" w:hAnsi="Calibri"/>
          <w:i/>
          <w:sz w:val="21"/>
          <w:szCs w:val="21"/>
          <w:shd w:val="clear" w:color="auto" w:fill="FFFFFF"/>
        </w:rPr>
        <w:t xml:space="preserve"> and </w:t>
      </w:r>
      <w:r>
        <w:rPr>
          <w:rFonts w:ascii="Calibri" w:hAnsi="Calibri"/>
          <w:i/>
          <w:sz w:val="21"/>
          <w:szCs w:val="21"/>
          <w:shd w:val="clear" w:color="auto" w:fill="FFFFFF"/>
        </w:rPr>
        <w:t>“Target Risk G</w:t>
      </w:r>
      <w:r w:rsidRPr="00130EFB">
        <w:rPr>
          <w:rFonts w:ascii="Calibri" w:hAnsi="Calibri"/>
          <w:i/>
          <w:sz w:val="21"/>
          <w:szCs w:val="21"/>
          <w:shd w:val="clear" w:color="auto" w:fill="FFFFFF"/>
        </w:rPr>
        <w:t>oods</w:t>
      </w:r>
      <w:r>
        <w:rPr>
          <w:rFonts w:ascii="Calibri" w:hAnsi="Calibri"/>
          <w:i/>
          <w:sz w:val="21"/>
          <w:szCs w:val="21"/>
          <w:shd w:val="clear" w:color="auto" w:fill="FFFFFF"/>
        </w:rPr>
        <w:t>”</w:t>
      </w:r>
      <w:r w:rsidRPr="00130EFB">
        <w:rPr>
          <w:rFonts w:ascii="Calibri" w:hAnsi="Calibri"/>
          <w:i/>
          <w:sz w:val="21"/>
          <w:szCs w:val="21"/>
          <w:shd w:val="clear" w:color="auto" w:fill="FFFFFF"/>
        </w:rPr>
        <w:t>, BMSB s</w:t>
      </w:r>
      <w:r>
        <w:rPr>
          <w:rFonts w:ascii="Calibri" w:hAnsi="Calibri"/>
          <w:i/>
          <w:sz w:val="21"/>
          <w:szCs w:val="21"/>
          <w:shd w:val="clear" w:color="auto" w:fill="FFFFFF"/>
        </w:rPr>
        <w:t>easonal measures do not apply. H</w:t>
      </w:r>
      <w:r w:rsidRPr="00130EFB">
        <w:rPr>
          <w:rFonts w:ascii="Calibri" w:hAnsi="Calibri"/>
          <w:i/>
          <w:sz w:val="21"/>
          <w:szCs w:val="21"/>
          <w:shd w:val="clear" w:color="auto" w:fill="FFFFFF"/>
        </w:rPr>
        <w:t>owever, these goods may be subject to the measures if they are part of a containe</w:t>
      </w:r>
      <w:r>
        <w:rPr>
          <w:rFonts w:ascii="Calibri" w:hAnsi="Calibri"/>
          <w:i/>
          <w:sz w:val="21"/>
          <w:szCs w:val="21"/>
          <w:shd w:val="clear" w:color="auto" w:fill="FFFFFF"/>
        </w:rPr>
        <w:t>r or consignment that contains Target High Risk or Target Risk G</w:t>
      </w:r>
      <w:r w:rsidRPr="00130EFB">
        <w:rPr>
          <w:rFonts w:ascii="Calibri" w:hAnsi="Calibri"/>
          <w:i/>
          <w:sz w:val="21"/>
          <w:szCs w:val="21"/>
          <w:shd w:val="clear" w:color="auto" w:fill="FFFFFF"/>
        </w:rPr>
        <w:t>oods.</w:t>
      </w:r>
    </w:p>
    <w:p w14:paraId="03C78FEA" w14:textId="77777777" w:rsidR="000373A7" w:rsidRDefault="000373A7" w:rsidP="000373A7">
      <w:pPr>
        <w:pStyle w:val="Default"/>
        <w:rPr>
          <w:b/>
          <w:bCs/>
          <w:i/>
          <w:iCs/>
          <w:color w:val="C00000"/>
          <w:sz w:val="23"/>
          <w:szCs w:val="23"/>
        </w:rPr>
      </w:pPr>
    </w:p>
    <w:p w14:paraId="19E8B6D0" w14:textId="2FC96A54" w:rsidR="000373A7" w:rsidRDefault="000373A7" w:rsidP="000373A7">
      <w:pPr>
        <w:pStyle w:val="Default"/>
        <w:rPr>
          <w:b/>
          <w:bCs/>
          <w:i/>
          <w:iCs/>
          <w:color w:val="C00000"/>
          <w:sz w:val="23"/>
          <w:szCs w:val="23"/>
        </w:rPr>
      </w:pPr>
    </w:p>
    <w:p w14:paraId="278C2DC3" w14:textId="54A19630" w:rsidR="007B2B75" w:rsidRDefault="007B2B75" w:rsidP="007B2B75">
      <w:pPr>
        <w:pStyle w:val="Default"/>
        <w:rPr>
          <w:b/>
          <w:bCs/>
          <w:i/>
          <w:iCs/>
          <w:color w:val="C00000"/>
          <w:sz w:val="23"/>
          <w:szCs w:val="23"/>
        </w:rPr>
      </w:pPr>
      <w:r w:rsidRPr="007B2B75">
        <w:rPr>
          <w:b/>
          <w:bCs/>
          <w:i/>
          <w:iCs/>
          <w:color w:val="C00000"/>
          <w:sz w:val="23"/>
          <w:szCs w:val="23"/>
        </w:rPr>
        <w:lastRenderedPageBreak/>
        <w:t>New, Unused and not Field Tested (NUFT) goods</w:t>
      </w:r>
    </w:p>
    <w:p w14:paraId="560B8AA0" w14:textId="77777777" w:rsidR="00AC1AF1" w:rsidRPr="007B2B75" w:rsidRDefault="00AC1AF1" w:rsidP="007B2B75">
      <w:pPr>
        <w:pStyle w:val="Default"/>
        <w:rPr>
          <w:b/>
          <w:bCs/>
          <w:i/>
          <w:iCs/>
          <w:color w:val="C00000"/>
          <w:sz w:val="23"/>
          <w:szCs w:val="23"/>
        </w:rPr>
      </w:pPr>
    </w:p>
    <w:p w14:paraId="47C46B87" w14:textId="77777777" w:rsidR="007B2B75" w:rsidRPr="007B2B75" w:rsidRDefault="007B2B75" w:rsidP="007B2B75">
      <w:pPr>
        <w:pStyle w:val="Default"/>
        <w:rPr>
          <w:rFonts w:asciiTheme="majorHAnsi" w:hAnsiTheme="majorHAnsi" w:cstheme="majorHAnsi"/>
          <w:i/>
          <w:iCs/>
          <w:color w:val="auto"/>
          <w:sz w:val="21"/>
          <w:szCs w:val="21"/>
        </w:rPr>
      </w:pPr>
      <w:r w:rsidRPr="007B2B75">
        <w:rPr>
          <w:rFonts w:asciiTheme="majorHAnsi" w:hAnsiTheme="majorHAnsi" w:cstheme="majorHAnsi"/>
          <w:i/>
          <w:iCs/>
          <w:color w:val="auto"/>
          <w:sz w:val="21"/>
          <w:szCs w:val="21"/>
        </w:rPr>
        <w:t>Certain goods that can meet all the following criteria will not be subject to mandatory BMSB treatment:</w:t>
      </w:r>
    </w:p>
    <w:p w14:paraId="555E0424" w14:textId="148D0C6D" w:rsidR="007B2B75" w:rsidRPr="007B2B75" w:rsidRDefault="007B2B75" w:rsidP="00011D29">
      <w:pPr>
        <w:pStyle w:val="Default"/>
        <w:numPr>
          <w:ilvl w:val="0"/>
          <w:numId w:val="2"/>
        </w:numPr>
        <w:rPr>
          <w:rFonts w:asciiTheme="majorHAnsi" w:hAnsiTheme="majorHAnsi" w:cstheme="majorHAnsi"/>
          <w:i/>
          <w:iCs/>
          <w:color w:val="auto"/>
          <w:sz w:val="21"/>
          <w:szCs w:val="21"/>
        </w:rPr>
      </w:pPr>
      <w:r>
        <w:rPr>
          <w:rFonts w:asciiTheme="majorHAnsi" w:hAnsiTheme="majorHAnsi" w:cstheme="majorHAnsi"/>
          <w:i/>
          <w:iCs/>
          <w:color w:val="auto"/>
          <w:sz w:val="21"/>
          <w:szCs w:val="21"/>
        </w:rPr>
        <w:t>M</w:t>
      </w:r>
      <w:r w:rsidRPr="007B2B75">
        <w:rPr>
          <w:rFonts w:asciiTheme="majorHAnsi" w:hAnsiTheme="majorHAnsi" w:cstheme="majorHAnsi"/>
          <w:i/>
          <w:iCs/>
          <w:color w:val="auto"/>
          <w:sz w:val="21"/>
          <w:szCs w:val="21"/>
        </w:rPr>
        <w:t>anufactured on or after 1 December (manufacture must start from 1 December).</w:t>
      </w:r>
    </w:p>
    <w:p w14:paraId="12D1BAB6" w14:textId="73903170" w:rsidR="007B2B75" w:rsidRPr="007B2B75" w:rsidRDefault="00EC1DB7" w:rsidP="00011D29">
      <w:pPr>
        <w:pStyle w:val="Default"/>
        <w:numPr>
          <w:ilvl w:val="0"/>
          <w:numId w:val="2"/>
        </w:numPr>
        <w:rPr>
          <w:rFonts w:asciiTheme="majorHAnsi" w:hAnsiTheme="majorHAnsi" w:cstheme="majorHAnsi"/>
          <w:i/>
          <w:iCs/>
          <w:color w:val="auto"/>
          <w:sz w:val="21"/>
          <w:szCs w:val="21"/>
        </w:rPr>
      </w:pPr>
      <w:r>
        <w:rPr>
          <w:rFonts w:asciiTheme="majorHAnsi" w:hAnsiTheme="majorHAnsi" w:cstheme="majorHAnsi"/>
          <w:i/>
          <w:iCs/>
          <w:color w:val="auto"/>
          <w:sz w:val="21"/>
          <w:szCs w:val="21"/>
        </w:rPr>
        <w:t>G</w:t>
      </w:r>
      <w:r w:rsidR="007B2B75" w:rsidRPr="007B2B75">
        <w:rPr>
          <w:rFonts w:asciiTheme="majorHAnsi" w:hAnsiTheme="majorHAnsi" w:cstheme="majorHAnsi"/>
          <w:i/>
          <w:iCs/>
          <w:color w:val="auto"/>
          <w:sz w:val="21"/>
          <w:szCs w:val="21"/>
        </w:rPr>
        <w:t>oods classified under the following tariff chapters only</w:t>
      </w:r>
      <w:r>
        <w:rPr>
          <w:rFonts w:asciiTheme="majorHAnsi" w:hAnsiTheme="majorHAnsi" w:cstheme="majorHAnsi"/>
          <w:i/>
          <w:iCs/>
          <w:color w:val="auto"/>
          <w:sz w:val="21"/>
          <w:szCs w:val="21"/>
        </w:rPr>
        <w:t xml:space="preserve"> will be allowed under this concession</w:t>
      </w:r>
      <w:r w:rsidR="007B2B75" w:rsidRPr="007B2B75">
        <w:rPr>
          <w:rFonts w:asciiTheme="majorHAnsi" w:hAnsiTheme="majorHAnsi" w:cstheme="majorHAnsi"/>
          <w:i/>
          <w:iCs/>
          <w:color w:val="auto"/>
          <w:sz w:val="21"/>
          <w:szCs w:val="21"/>
        </w:rPr>
        <w:t>: 82, 84, 85, 86, 87, 88 and 89</w:t>
      </w:r>
      <w:r>
        <w:rPr>
          <w:rFonts w:asciiTheme="majorHAnsi" w:hAnsiTheme="majorHAnsi" w:cstheme="majorHAnsi"/>
          <w:i/>
          <w:iCs/>
          <w:color w:val="auto"/>
          <w:sz w:val="21"/>
          <w:szCs w:val="21"/>
        </w:rPr>
        <w:t>.</w:t>
      </w:r>
    </w:p>
    <w:p w14:paraId="2499A5BA" w14:textId="77777777" w:rsidR="00446DF9" w:rsidRDefault="00EC1DB7" w:rsidP="00011D29">
      <w:pPr>
        <w:pStyle w:val="Default"/>
        <w:numPr>
          <w:ilvl w:val="0"/>
          <w:numId w:val="2"/>
        </w:numPr>
        <w:rPr>
          <w:rFonts w:asciiTheme="majorHAnsi" w:hAnsiTheme="majorHAnsi" w:cstheme="majorHAnsi"/>
          <w:i/>
          <w:iCs/>
          <w:color w:val="auto"/>
          <w:sz w:val="21"/>
          <w:szCs w:val="21"/>
        </w:rPr>
      </w:pPr>
      <w:r>
        <w:rPr>
          <w:rFonts w:asciiTheme="majorHAnsi" w:hAnsiTheme="majorHAnsi" w:cstheme="majorHAnsi"/>
          <w:i/>
          <w:iCs/>
          <w:color w:val="auto"/>
          <w:sz w:val="21"/>
          <w:szCs w:val="21"/>
        </w:rPr>
        <w:t>E</w:t>
      </w:r>
      <w:r w:rsidR="007B2B75" w:rsidRPr="007B2B75">
        <w:rPr>
          <w:rFonts w:asciiTheme="majorHAnsi" w:hAnsiTheme="majorHAnsi" w:cstheme="majorHAnsi"/>
          <w:i/>
          <w:iCs/>
          <w:color w:val="auto"/>
          <w:sz w:val="21"/>
          <w:szCs w:val="21"/>
        </w:rPr>
        <w:t>vidence</w:t>
      </w:r>
      <w:r>
        <w:rPr>
          <w:rFonts w:asciiTheme="majorHAnsi" w:hAnsiTheme="majorHAnsi" w:cstheme="majorHAnsi"/>
          <w:i/>
          <w:iCs/>
          <w:color w:val="auto"/>
          <w:sz w:val="21"/>
          <w:szCs w:val="21"/>
        </w:rPr>
        <w:t xml:space="preserve"> must</w:t>
      </w:r>
      <w:r w:rsidR="007B2B75" w:rsidRPr="007B2B75">
        <w:rPr>
          <w:rFonts w:asciiTheme="majorHAnsi" w:hAnsiTheme="majorHAnsi" w:cstheme="majorHAnsi"/>
          <w:i/>
          <w:iCs/>
          <w:color w:val="auto"/>
          <w:sz w:val="21"/>
          <w:szCs w:val="21"/>
        </w:rPr>
        <w:t xml:space="preserve"> be provided in the form of a BMSB NUFT (new, unused and not field tested) manufacturers declaration that the goods are manufactured on or after 1 December</w:t>
      </w:r>
      <w:r>
        <w:rPr>
          <w:rFonts w:asciiTheme="majorHAnsi" w:hAnsiTheme="majorHAnsi" w:cstheme="majorHAnsi"/>
          <w:i/>
          <w:iCs/>
          <w:color w:val="auto"/>
          <w:sz w:val="21"/>
          <w:szCs w:val="21"/>
        </w:rPr>
        <w:t>.</w:t>
      </w:r>
      <w:r w:rsidR="00446DF9">
        <w:rPr>
          <w:rFonts w:asciiTheme="majorHAnsi" w:hAnsiTheme="majorHAnsi" w:cstheme="majorHAnsi"/>
          <w:i/>
          <w:iCs/>
          <w:color w:val="auto"/>
          <w:sz w:val="21"/>
          <w:szCs w:val="21"/>
        </w:rPr>
        <w:t xml:space="preserve"> </w:t>
      </w:r>
    </w:p>
    <w:p w14:paraId="5D00F008" w14:textId="4C99A46E" w:rsidR="00D87102" w:rsidRDefault="00446DF9" w:rsidP="00446DF9">
      <w:pPr>
        <w:pStyle w:val="Default"/>
        <w:ind w:left="720"/>
        <w:rPr>
          <w:rFonts w:asciiTheme="majorHAnsi" w:hAnsiTheme="majorHAnsi" w:cstheme="majorHAnsi"/>
          <w:i/>
          <w:iCs/>
          <w:color w:val="auto"/>
          <w:sz w:val="21"/>
          <w:szCs w:val="21"/>
        </w:rPr>
      </w:pPr>
      <w:r>
        <w:rPr>
          <w:rFonts w:asciiTheme="majorHAnsi" w:hAnsiTheme="majorHAnsi" w:cstheme="majorHAnsi"/>
          <w:i/>
          <w:iCs/>
          <w:color w:val="auto"/>
          <w:sz w:val="21"/>
          <w:szCs w:val="21"/>
        </w:rPr>
        <w:t xml:space="preserve">BMSB NUFT Declaration Template can be found here: </w:t>
      </w:r>
      <w:hyperlink r:id="rId15" w:history="1">
        <w:r w:rsidR="006E7419" w:rsidRPr="009B601D">
          <w:rPr>
            <w:rStyle w:val="Hyperlink"/>
            <w:rFonts w:asciiTheme="majorHAnsi" w:hAnsiTheme="majorHAnsi" w:cstheme="majorHAnsi"/>
            <w:i/>
            <w:iCs/>
            <w:sz w:val="21"/>
            <w:szCs w:val="21"/>
          </w:rPr>
          <w:t>https://www.agriculture.gov.au/sites/default/files/documents/bmsb-nuft-declaration.pdf</w:t>
        </w:r>
      </w:hyperlink>
      <w:r>
        <w:rPr>
          <w:rFonts w:asciiTheme="majorHAnsi" w:hAnsiTheme="majorHAnsi" w:cstheme="majorHAnsi"/>
          <w:i/>
          <w:iCs/>
          <w:color w:val="auto"/>
          <w:sz w:val="21"/>
          <w:szCs w:val="21"/>
        </w:rPr>
        <w:t xml:space="preserve"> </w:t>
      </w:r>
    </w:p>
    <w:p w14:paraId="5413C0F6" w14:textId="77777777" w:rsidR="00EC1DB7" w:rsidRPr="007B2B75" w:rsidRDefault="00EC1DB7" w:rsidP="007B2B75">
      <w:pPr>
        <w:pStyle w:val="Default"/>
        <w:rPr>
          <w:rFonts w:asciiTheme="majorHAnsi" w:hAnsiTheme="majorHAnsi" w:cstheme="majorHAnsi"/>
          <w:i/>
          <w:iCs/>
          <w:color w:val="auto"/>
          <w:sz w:val="21"/>
          <w:szCs w:val="21"/>
        </w:rPr>
      </w:pPr>
    </w:p>
    <w:p w14:paraId="4CDE32B6" w14:textId="77777777" w:rsidR="00D87102" w:rsidRDefault="00D87102" w:rsidP="000373A7">
      <w:pPr>
        <w:pStyle w:val="Default"/>
        <w:rPr>
          <w:b/>
          <w:bCs/>
          <w:i/>
          <w:iCs/>
          <w:color w:val="C00000"/>
          <w:sz w:val="23"/>
          <w:szCs w:val="23"/>
        </w:rPr>
      </w:pPr>
    </w:p>
    <w:p w14:paraId="0FBA19E1" w14:textId="77777777" w:rsidR="000373A7" w:rsidRDefault="000373A7" w:rsidP="000373A7">
      <w:pPr>
        <w:pStyle w:val="Default"/>
        <w:rPr>
          <w:b/>
          <w:bCs/>
          <w:i/>
          <w:iCs/>
          <w:color w:val="C00000"/>
          <w:sz w:val="23"/>
          <w:szCs w:val="23"/>
        </w:rPr>
      </w:pPr>
      <w:r>
        <w:rPr>
          <w:b/>
          <w:bCs/>
          <w:i/>
          <w:iCs/>
          <w:color w:val="C00000"/>
          <w:sz w:val="23"/>
          <w:szCs w:val="23"/>
        </w:rPr>
        <w:t xml:space="preserve">Treatment Requirements  </w:t>
      </w:r>
    </w:p>
    <w:p w14:paraId="717F8C89" w14:textId="77777777" w:rsidR="000373A7" w:rsidRDefault="000373A7" w:rsidP="000373A7">
      <w:pPr>
        <w:pStyle w:val="Default"/>
        <w:rPr>
          <w:color w:val="C00000"/>
          <w:sz w:val="23"/>
          <w:szCs w:val="23"/>
        </w:rPr>
      </w:pPr>
    </w:p>
    <w:p w14:paraId="453F6A61" w14:textId="77777777" w:rsidR="000373A7" w:rsidRDefault="000373A7" w:rsidP="000373A7">
      <w:pPr>
        <w:pStyle w:val="Default"/>
        <w:rPr>
          <w:b/>
          <w:bCs/>
          <w:i/>
          <w:iCs/>
          <w:sz w:val="22"/>
          <w:szCs w:val="22"/>
        </w:rPr>
      </w:pPr>
      <w:r>
        <w:rPr>
          <w:b/>
          <w:bCs/>
          <w:i/>
          <w:iCs/>
          <w:sz w:val="22"/>
          <w:szCs w:val="22"/>
        </w:rPr>
        <w:t xml:space="preserve">Mandatory Offshore Treatment </w:t>
      </w:r>
    </w:p>
    <w:p w14:paraId="2CE0DE2F" w14:textId="77777777" w:rsidR="000373A7" w:rsidRDefault="000373A7" w:rsidP="000373A7">
      <w:pPr>
        <w:pStyle w:val="Default"/>
        <w:rPr>
          <w:sz w:val="22"/>
          <w:szCs w:val="22"/>
        </w:rPr>
      </w:pPr>
    </w:p>
    <w:p w14:paraId="49B88DD6" w14:textId="77777777" w:rsidR="000373A7" w:rsidRDefault="000373A7" w:rsidP="000373A7">
      <w:pPr>
        <w:pStyle w:val="Default"/>
        <w:rPr>
          <w:sz w:val="20"/>
          <w:szCs w:val="20"/>
        </w:rPr>
      </w:pPr>
      <w:r>
        <w:rPr>
          <w:sz w:val="20"/>
          <w:szCs w:val="20"/>
        </w:rPr>
        <w:t xml:space="preserve"> </w:t>
      </w:r>
      <w:r>
        <w:rPr>
          <w:b/>
          <w:bCs/>
          <w:i/>
          <w:iCs/>
          <w:sz w:val="20"/>
          <w:szCs w:val="20"/>
        </w:rPr>
        <w:t xml:space="preserve">LCL consignments and FAK containers </w:t>
      </w:r>
    </w:p>
    <w:p w14:paraId="48261FA3" w14:textId="77777777" w:rsidR="000373A7" w:rsidRDefault="000373A7" w:rsidP="000373A7">
      <w:pPr>
        <w:pStyle w:val="Default"/>
        <w:rPr>
          <w:sz w:val="20"/>
          <w:szCs w:val="20"/>
        </w:rPr>
      </w:pPr>
    </w:p>
    <w:p w14:paraId="79988255" w14:textId="0125CE92" w:rsidR="000373A7" w:rsidRDefault="00B27B4C" w:rsidP="000373A7">
      <w:pPr>
        <w:pStyle w:val="Default"/>
        <w:rPr>
          <w:i/>
          <w:iCs/>
          <w:sz w:val="20"/>
          <w:szCs w:val="20"/>
        </w:rPr>
      </w:pPr>
      <w:r>
        <w:rPr>
          <w:i/>
          <w:iCs/>
          <w:sz w:val="20"/>
          <w:szCs w:val="20"/>
        </w:rPr>
        <w:t>O</w:t>
      </w:r>
      <w:r w:rsidR="000373A7">
        <w:rPr>
          <w:i/>
          <w:iCs/>
          <w:sz w:val="20"/>
          <w:szCs w:val="20"/>
        </w:rPr>
        <w:t>ffshore treatment of target high risk goods shipped in sealed six sided containers, as LCL (less than container load) and FAK consolidated (freight of all kinds) is being proposed</w:t>
      </w:r>
      <w:r>
        <w:rPr>
          <w:i/>
          <w:iCs/>
          <w:sz w:val="20"/>
          <w:szCs w:val="20"/>
        </w:rPr>
        <w:t xml:space="preserve"> again</w:t>
      </w:r>
      <w:r w:rsidR="000373A7">
        <w:rPr>
          <w:i/>
          <w:iCs/>
          <w:sz w:val="20"/>
          <w:szCs w:val="20"/>
        </w:rPr>
        <w:t xml:space="preserve"> under the 202</w:t>
      </w:r>
      <w:r w:rsidR="00994394">
        <w:rPr>
          <w:i/>
          <w:iCs/>
          <w:sz w:val="20"/>
          <w:szCs w:val="20"/>
        </w:rPr>
        <w:t>2</w:t>
      </w:r>
      <w:r w:rsidR="000373A7">
        <w:rPr>
          <w:i/>
          <w:iCs/>
          <w:sz w:val="20"/>
          <w:szCs w:val="20"/>
        </w:rPr>
        <w:t>–2</w:t>
      </w:r>
      <w:r w:rsidR="00994394">
        <w:rPr>
          <w:i/>
          <w:iCs/>
          <w:sz w:val="20"/>
          <w:szCs w:val="20"/>
        </w:rPr>
        <w:t>3</w:t>
      </w:r>
      <w:r w:rsidR="000373A7">
        <w:rPr>
          <w:i/>
          <w:iCs/>
          <w:sz w:val="20"/>
          <w:szCs w:val="20"/>
        </w:rPr>
        <w:t xml:space="preserve"> season</w:t>
      </w:r>
      <w:r>
        <w:rPr>
          <w:i/>
          <w:iCs/>
          <w:sz w:val="20"/>
          <w:szCs w:val="20"/>
        </w:rPr>
        <w:t>, with potential option for treatment on arrival prior to deconsolidation</w:t>
      </w:r>
      <w:r w:rsidR="000373A7">
        <w:rPr>
          <w:i/>
          <w:iCs/>
          <w:sz w:val="20"/>
          <w:szCs w:val="20"/>
        </w:rPr>
        <w:t xml:space="preserve">. </w:t>
      </w:r>
    </w:p>
    <w:p w14:paraId="6ACCFA13" w14:textId="77777777" w:rsidR="000373A7" w:rsidRPr="00F6169A" w:rsidRDefault="000373A7" w:rsidP="000373A7">
      <w:pPr>
        <w:pStyle w:val="Default"/>
        <w:rPr>
          <w:i/>
          <w:iCs/>
          <w:color w:val="0070C0"/>
          <w:sz w:val="20"/>
          <w:szCs w:val="20"/>
        </w:rPr>
      </w:pPr>
      <w:r w:rsidRPr="00F6169A">
        <w:rPr>
          <w:i/>
          <w:iCs/>
          <w:color w:val="0070C0"/>
          <w:sz w:val="20"/>
          <w:szCs w:val="20"/>
        </w:rPr>
        <w:t>S.A.L. Global Logistics will be able to arrange the Treatment/Fumigation through our origin offices for all LCL cargo from the “Target Risk Countries” to comply with the required measures.</w:t>
      </w:r>
    </w:p>
    <w:p w14:paraId="54A2AD34" w14:textId="77777777" w:rsidR="000373A7" w:rsidRDefault="000373A7" w:rsidP="000373A7">
      <w:pPr>
        <w:pStyle w:val="Default"/>
        <w:rPr>
          <w:sz w:val="20"/>
          <w:szCs w:val="20"/>
        </w:rPr>
      </w:pPr>
    </w:p>
    <w:p w14:paraId="7FDB78EE" w14:textId="77777777" w:rsidR="000373A7" w:rsidRDefault="000373A7" w:rsidP="000373A7">
      <w:pPr>
        <w:pStyle w:val="Default"/>
        <w:rPr>
          <w:b/>
          <w:bCs/>
          <w:i/>
          <w:iCs/>
          <w:sz w:val="20"/>
          <w:szCs w:val="20"/>
        </w:rPr>
      </w:pPr>
      <w:r>
        <w:rPr>
          <w:sz w:val="20"/>
          <w:szCs w:val="20"/>
        </w:rPr>
        <w:t xml:space="preserve"> </w:t>
      </w:r>
      <w:r>
        <w:rPr>
          <w:b/>
          <w:bCs/>
          <w:i/>
          <w:iCs/>
          <w:sz w:val="20"/>
          <w:szCs w:val="20"/>
        </w:rPr>
        <w:t xml:space="preserve">Break bulk consignments </w:t>
      </w:r>
    </w:p>
    <w:p w14:paraId="21BB48E2" w14:textId="77777777" w:rsidR="000373A7" w:rsidRDefault="000373A7" w:rsidP="000373A7">
      <w:pPr>
        <w:pStyle w:val="Default"/>
        <w:rPr>
          <w:sz w:val="20"/>
          <w:szCs w:val="20"/>
        </w:rPr>
      </w:pPr>
    </w:p>
    <w:p w14:paraId="1635AAF0" w14:textId="77777777" w:rsidR="00091DF6" w:rsidRDefault="000373A7" w:rsidP="000373A7">
      <w:pPr>
        <w:pStyle w:val="Default"/>
        <w:rPr>
          <w:i/>
          <w:iCs/>
          <w:sz w:val="20"/>
          <w:szCs w:val="20"/>
        </w:rPr>
      </w:pPr>
      <w:r>
        <w:rPr>
          <w:i/>
          <w:iCs/>
          <w:sz w:val="20"/>
          <w:szCs w:val="20"/>
        </w:rPr>
        <w:t>Mandatory offshore treatment of target high risk goods shipped as break bulk cargo including goods shipped in open top containers or on flat rack containers will continue to be required.</w:t>
      </w:r>
    </w:p>
    <w:p w14:paraId="7F469B18" w14:textId="2D30E455" w:rsidR="00091DF6" w:rsidRDefault="00091DF6" w:rsidP="000373A7">
      <w:pPr>
        <w:pStyle w:val="Default"/>
        <w:rPr>
          <w:i/>
          <w:iCs/>
          <w:sz w:val="20"/>
          <w:szCs w:val="20"/>
        </w:rPr>
      </w:pPr>
      <w:r w:rsidRPr="00091DF6">
        <w:rPr>
          <w:i/>
          <w:iCs/>
          <w:sz w:val="20"/>
          <w:szCs w:val="20"/>
        </w:rPr>
        <w:t>Onshore treatment is not permitted.</w:t>
      </w:r>
    </w:p>
    <w:p w14:paraId="47B46BB1" w14:textId="0052F21B" w:rsidR="007B4E47" w:rsidRDefault="007B4E47" w:rsidP="000373A7">
      <w:pPr>
        <w:pStyle w:val="Default"/>
        <w:rPr>
          <w:i/>
          <w:iCs/>
          <w:sz w:val="20"/>
          <w:szCs w:val="20"/>
        </w:rPr>
      </w:pPr>
      <w:r w:rsidRPr="007B4E47">
        <w:rPr>
          <w:i/>
          <w:iCs/>
          <w:sz w:val="20"/>
          <w:szCs w:val="20"/>
        </w:rPr>
        <w:t>Break bulk includes those goods shipped on flat racks and in open top containers.</w:t>
      </w:r>
    </w:p>
    <w:p w14:paraId="0092E62A" w14:textId="0B98755A" w:rsidR="00D87102" w:rsidRPr="00D87102" w:rsidRDefault="000373A7" w:rsidP="000373A7">
      <w:pPr>
        <w:pStyle w:val="Default"/>
        <w:rPr>
          <w:sz w:val="20"/>
          <w:szCs w:val="20"/>
        </w:rPr>
      </w:pPr>
      <w:r>
        <w:rPr>
          <w:i/>
          <w:iCs/>
          <w:sz w:val="20"/>
          <w:szCs w:val="20"/>
        </w:rPr>
        <w:t xml:space="preserve">Untreated breakbulk will be denied discharge and be directed for export on arrival. </w:t>
      </w:r>
    </w:p>
    <w:p w14:paraId="442CD6DE" w14:textId="77777777" w:rsidR="00D87102" w:rsidRDefault="00D87102" w:rsidP="000373A7">
      <w:pPr>
        <w:pStyle w:val="Default"/>
        <w:rPr>
          <w:b/>
          <w:bCs/>
          <w:i/>
          <w:iCs/>
          <w:sz w:val="22"/>
          <w:szCs w:val="22"/>
        </w:rPr>
      </w:pPr>
    </w:p>
    <w:p w14:paraId="49069585" w14:textId="77777777" w:rsidR="000373A7" w:rsidRDefault="000373A7" w:rsidP="000373A7">
      <w:pPr>
        <w:pStyle w:val="Default"/>
        <w:rPr>
          <w:b/>
          <w:bCs/>
          <w:i/>
          <w:iCs/>
          <w:sz w:val="22"/>
          <w:szCs w:val="22"/>
        </w:rPr>
      </w:pPr>
      <w:r>
        <w:rPr>
          <w:b/>
          <w:bCs/>
          <w:i/>
          <w:iCs/>
          <w:sz w:val="22"/>
          <w:szCs w:val="22"/>
        </w:rPr>
        <w:t xml:space="preserve">Mandatory Offshore or Onshore Treatment </w:t>
      </w:r>
    </w:p>
    <w:p w14:paraId="1CA2E45D" w14:textId="77777777" w:rsidR="000373A7" w:rsidRDefault="000373A7" w:rsidP="000373A7">
      <w:pPr>
        <w:pStyle w:val="Default"/>
        <w:rPr>
          <w:sz w:val="22"/>
          <w:szCs w:val="22"/>
        </w:rPr>
      </w:pPr>
    </w:p>
    <w:p w14:paraId="301F7D7B" w14:textId="77777777" w:rsidR="000373A7" w:rsidRDefault="000373A7" w:rsidP="000373A7">
      <w:pPr>
        <w:pStyle w:val="Default"/>
        <w:rPr>
          <w:sz w:val="20"/>
          <w:szCs w:val="20"/>
        </w:rPr>
      </w:pPr>
      <w:r>
        <w:rPr>
          <w:sz w:val="20"/>
          <w:szCs w:val="20"/>
        </w:rPr>
        <w:t xml:space="preserve"> </w:t>
      </w:r>
      <w:r>
        <w:rPr>
          <w:b/>
          <w:bCs/>
          <w:i/>
          <w:iCs/>
          <w:sz w:val="20"/>
          <w:szCs w:val="20"/>
        </w:rPr>
        <w:t xml:space="preserve">FCL consignments </w:t>
      </w:r>
    </w:p>
    <w:p w14:paraId="431DAC47" w14:textId="77777777" w:rsidR="000373A7" w:rsidRDefault="000373A7" w:rsidP="000373A7">
      <w:pPr>
        <w:pStyle w:val="Default"/>
        <w:rPr>
          <w:sz w:val="20"/>
          <w:szCs w:val="20"/>
        </w:rPr>
      </w:pPr>
    </w:p>
    <w:p w14:paraId="6466FC67" w14:textId="34C7195F" w:rsidR="000373A7" w:rsidRDefault="000373A7" w:rsidP="000373A7">
      <w:pPr>
        <w:pStyle w:val="Default"/>
        <w:rPr>
          <w:sz w:val="20"/>
          <w:szCs w:val="20"/>
        </w:rPr>
      </w:pPr>
      <w:r>
        <w:rPr>
          <w:i/>
          <w:iCs/>
          <w:sz w:val="20"/>
          <w:szCs w:val="20"/>
        </w:rPr>
        <w:t xml:space="preserve">Full Container Loads (FCL) with Target High Risk Goods shipped in sealed six hard sided containers can continue to be treated offshore or onshore at the container level. Deconsolidation or removal of goods will not be permitted before treatment. No exemptions for deconsolidation </w:t>
      </w:r>
      <w:r w:rsidR="00060691">
        <w:rPr>
          <w:i/>
          <w:iCs/>
          <w:sz w:val="20"/>
          <w:szCs w:val="20"/>
        </w:rPr>
        <w:t xml:space="preserve">or segregation </w:t>
      </w:r>
      <w:r>
        <w:rPr>
          <w:i/>
          <w:iCs/>
          <w:sz w:val="20"/>
          <w:szCs w:val="20"/>
        </w:rPr>
        <w:t xml:space="preserve">on arrival will be considered. Consideration must be given to ensure </w:t>
      </w:r>
      <w:r w:rsidR="00627E26">
        <w:rPr>
          <w:i/>
          <w:iCs/>
          <w:sz w:val="20"/>
          <w:szCs w:val="20"/>
        </w:rPr>
        <w:t>containers</w:t>
      </w:r>
      <w:r>
        <w:rPr>
          <w:i/>
          <w:iCs/>
          <w:sz w:val="20"/>
          <w:szCs w:val="20"/>
        </w:rPr>
        <w:t xml:space="preserve"> are packed in a manner that will enable effective onshore treatment where required, to avoid possible export of </w:t>
      </w:r>
      <w:r w:rsidR="000E07EE">
        <w:rPr>
          <w:i/>
          <w:iCs/>
          <w:sz w:val="20"/>
          <w:szCs w:val="20"/>
        </w:rPr>
        <w:t>the container</w:t>
      </w:r>
      <w:r w:rsidR="00010984">
        <w:rPr>
          <w:i/>
          <w:iCs/>
          <w:sz w:val="20"/>
          <w:szCs w:val="20"/>
        </w:rPr>
        <w:t>/</w:t>
      </w:r>
      <w:r>
        <w:rPr>
          <w:i/>
          <w:iCs/>
          <w:sz w:val="20"/>
          <w:szCs w:val="20"/>
        </w:rPr>
        <w:t xml:space="preserve">s. </w:t>
      </w:r>
    </w:p>
    <w:p w14:paraId="5DEDE8BD" w14:textId="77777777" w:rsidR="000373A7" w:rsidRDefault="000373A7" w:rsidP="000373A7">
      <w:pPr>
        <w:pStyle w:val="Default"/>
        <w:rPr>
          <w:bCs/>
          <w:i/>
          <w:iCs/>
          <w:color w:val="0070C0"/>
          <w:sz w:val="20"/>
          <w:szCs w:val="20"/>
        </w:rPr>
      </w:pPr>
      <w:r w:rsidRPr="00F913D0">
        <w:rPr>
          <w:bCs/>
          <w:i/>
          <w:iCs/>
          <w:color w:val="0070C0"/>
          <w:sz w:val="20"/>
          <w:szCs w:val="20"/>
        </w:rPr>
        <w:t xml:space="preserve">Unless directed, or requested, FCL </w:t>
      </w:r>
      <w:r>
        <w:rPr>
          <w:bCs/>
          <w:i/>
          <w:iCs/>
          <w:color w:val="0070C0"/>
          <w:sz w:val="20"/>
          <w:szCs w:val="20"/>
        </w:rPr>
        <w:t>containers</w:t>
      </w:r>
      <w:r w:rsidRPr="00F913D0">
        <w:rPr>
          <w:bCs/>
          <w:i/>
          <w:iCs/>
          <w:color w:val="0070C0"/>
          <w:sz w:val="20"/>
          <w:szCs w:val="20"/>
        </w:rPr>
        <w:t xml:space="preserve"> from “Target Risk Countries” with “Target High Risk Goods” will undergo fumigation/treatment upon arrival </w:t>
      </w:r>
      <w:r>
        <w:rPr>
          <w:bCs/>
          <w:i/>
          <w:iCs/>
          <w:color w:val="0070C0"/>
          <w:sz w:val="20"/>
          <w:szCs w:val="20"/>
        </w:rPr>
        <w:t>at</w:t>
      </w:r>
      <w:r w:rsidRPr="00F913D0">
        <w:rPr>
          <w:bCs/>
          <w:i/>
          <w:iCs/>
          <w:color w:val="0070C0"/>
          <w:sz w:val="20"/>
          <w:szCs w:val="20"/>
        </w:rPr>
        <w:t xml:space="preserve"> destination in Australia</w:t>
      </w:r>
      <w:r>
        <w:rPr>
          <w:bCs/>
          <w:i/>
          <w:iCs/>
          <w:color w:val="0070C0"/>
          <w:sz w:val="20"/>
          <w:szCs w:val="20"/>
        </w:rPr>
        <w:t>,</w:t>
      </w:r>
      <w:r w:rsidRPr="00F913D0">
        <w:rPr>
          <w:bCs/>
          <w:i/>
          <w:iCs/>
          <w:color w:val="0070C0"/>
          <w:sz w:val="20"/>
          <w:szCs w:val="20"/>
        </w:rPr>
        <w:t xml:space="preserve"> as arranged by S.A.L. Global Logistics. </w:t>
      </w:r>
    </w:p>
    <w:p w14:paraId="0B067507" w14:textId="77777777" w:rsidR="000373A7" w:rsidRPr="00F913D0" w:rsidRDefault="000373A7" w:rsidP="000373A7">
      <w:pPr>
        <w:pStyle w:val="Default"/>
        <w:rPr>
          <w:bCs/>
          <w:i/>
          <w:iCs/>
          <w:color w:val="0070C0"/>
          <w:sz w:val="20"/>
          <w:szCs w:val="20"/>
        </w:rPr>
      </w:pPr>
      <w:r w:rsidRPr="00F913D0">
        <w:rPr>
          <w:bCs/>
          <w:i/>
          <w:iCs/>
          <w:color w:val="0070C0"/>
          <w:sz w:val="20"/>
          <w:szCs w:val="20"/>
        </w:rPr>
        <w:t>The main reason</w:t>
      </w:r>
      <w:r>
        <w:rPr>
          <w:bCs/>
          <w:i/>
          <w:iCs/>
          <w:color w:val="0070C0"/>
          <w:sz w:val="20"/>
          <w:szCs w:val="20"/>
        </w:rPr>
        <w:t xml:space="preserve"> for managing treatment onshore vs offshore</w:t>
      </w:r>
      <w:r w:rsidRPr="00F913D0">
        <w:rPr>
          <w:bCs/>
          <w:i/>
          <w:iCs/>
          <w:color w:val="0070C0"/>
          <w:sz w:val="20"/>
          <w:szCs w:val="20"/>
        </w:rPr>
        <w:t>, is to avoid any double-costs where offshore treatment has been deemed unsatisfactory, or treatment providers delisted</w:t>
      </w:r>
      <w:r>
        <w:rPr>
          <w:bCs/>
          <w:i/>
          <w:iCs/>
          <w:color w:val="0070C0"/>
          <w:sz w:val="20"/>
          <w:szCs w:val="20"/>
        </w:rPr>
        <w:t xml:space="preserve"> whilst goods are in transit, as experienced over previous seasons.</w:t>
      </w:r>
    </w:p>
    <w:p w14:paraId="11C44345" w14:textId="1A068391" w:rsidR="000373A7" w:rsidRDefault="000373A7" w:rsidP="000373A7">
      <w:pPr>
        <w:pStyle w:val="Default"/>
        <w:rPr>
          <w:b/>
          <w:bCs/>
          <w:i/>
          <w:iCs/>
          <w:sz w:val="20"/>
          <w:szCs w:val="20"/>
        </w:rPr>
      </w:pPr>
    </w:p>
    <w:p w14:paraId="06F20F58" w14:textId="0F436941" w:rsidR="00EC1DB7" w:rsidRDefault="00EC1DB7" w:rsidP="000373A7">
      <w:pPr>
        <w:pStyle w:val="Default"/>
        <w:rPr>
          <w:b/>
          <w:bCs/>
          <w:i/>
          <w:iCs/>
          <w:sz w:val="20"/>
          <w:szCs w:val="20"/>
        </w:rPr>
      </w:pPr>
    </w:p>
    <w:p w14:paraId="2829A4A0" w14:textId="609D68F0" w:rsidR="00EC1DB7" w:rsidRDefault="00EC1DB7" w:rsidP="000373A7">
      <w:pPr>
        <w:pStyle w:val="Default"/>
        <w:rPr>
          <w:b/>
          <w:bCs/>
          <w:i/>
          <w:iCs/>
          <w:sz w:val="20"/>
          <w:szCs w:val="20"/>
        </w:rPr>
      </w:pPr>
    </w:p>
    <w:p w14:paraId="11CF9EB9" w14:textId="77777777" w:rsidR="00EC1DB7" w:rsidRDefault="00EC1DB7" w:rsidP="000373A7">
      <w:pPr>
        <w:pStyle w:val="Default"/>
        <w:rPr>
          <w:b/>
          <w:bCs/>
          <w:i/>
          <w:iCs/>
          <w:sz w:val="20"/>
          <w:szCs w:val="20"/>
        </w:rPr>
      </w:pPr>
    </w:p>
    <w:p w14:paraId="79AFA3D9" w14:textId="77777777" w:rsidR="000373A7" w:rsidRDefault="000373A7" w:rsidP="000373A7">
      <w:pPr>
        <w:pStyle w:val="Default"/>
        <w:rPr>
          <w:i/>
          <w:iCs/>
          <w:sz w:val="20"/>
          <w:szCs w:val="20"/>
        </w:rPr>
      </w:pPr>
      <w:r>
        <w:rPr>
          <w:sz w:val="20"/>
          <w:szCs w:val="20"/>
        </w:rPr>
        <w:t xml:space="preserve"> </w:t>
      </w:r>
      <w:r>
        <w:rPr>
          <w:b/>
          <w:bCs/>
          <w:i/>
          <w:iCs/>
          <w:sz w:val="20"/>
          <w:szCs w:val="20"/>
        </w:rPr>
        <w:t xml:space="preserve">Treatment Options </w:t>
      </w:r>
      <w:r>
        <w:rPr>
          <w:i/>
          <w:iCs/>
          <w:sz w:val="20"/>
          <w:szCs w:val="20"/>
        </w:rPr>
        <w:t>The approved treatment options for goods requiring mandatory treatment are:</w:t>
      </w:r>
    </w:p>
    <w:p w14:paraId="622DA9D3" w14:textId="77777777" w:rsidR="000373A7" w:rsidRDefault="000373A7" w:rsidP="000373A7">
      <w:pPr>
        <w:pStyle w:val="Default"/>
        <w:numPr>
          <w:ilvl w:val="0"/>
          <w:numId w:val="1"/>
        </w:numPr>
        <w:rPr>
          <w:i/>
          <w:iCs/>
          <w:sz w:val="20"/>
          <w:szCs w:val="20"/>
        </w:rPr>
      </w:pPr>
      <w:r>
        <w:rPr>
          <w:i/>
          <w:iCs/>
          <w:sz w:val="20"/>
          <w:szCs w:val="20"/>
        </w:rPr>
        <w:t>Heat Treatment</w:t>
      </w:r>
    </w:p>
    <w:p w14:paraId="0CD8F65F" w14:textId="77777777" w:rsidR="000373A7" w:rsidRDefault="000373A7" w:rsidP="000373A7">
      <w:pPr>
        <w:pStyle w:val="Default"/>
        <w:numPr>
          <w:ilvl w:val="0"/>
          <w:numId w:val="1"/>
        </w:numPr>
        <w:rPr>
          <w:i/>
          <w:iCs/>
          <w:sz w:val="20"/>
          <w:szCs w:val="20"/>
        </w:rPr>
      </w:pPr>
      <w:r>
        <w:rPr>
          <w:i/>
          <w:iCs/>
          <w:sz w:val="20"/>
          <w:szCs w:val="20"/>
        </w:rPr>
        <w:t>Methyl Bromide fumigation</w:t>
      </w:r>
    </w:p>
    <w:p w14:paraId="7A705181" w14:textId="77777777" w:rsidR="000373A7" w:rsidRPr="00FD5109" w:rsidRDefault="000373A7" w:rsidP="000373A7">
      <w:pPr>
        <w:pStyle w:val="Default"/>
        <w:numPr>
          <w:ilvl w:val="0"/>
          <w:numId w:val="1"/>
        </w:numPr>
        <w:rPr>
          <w:i/>
          <w:iCs/>
          <w:sz w:val="20"/>
          <w:szCs w:val="20"/>
        </w:rPr>
      </w:pPr>
      <w:r>
        <w:rPr>
          <w:i/>
          <w:iCs/>
          <w:sz w:val="20"/>
          <w:szCs w:val="20"/>
        </w:rPr>
        <w:t>Sulfuryl Fluoride fumigation</w:t>
      </w:r>
    </w:p>
    <w:p w14:paraId="41F3CE81" w14:textId="7980CF40" w:rsidR="000373A7" w:rsidRDefault="000373A7" w:rsidP="000373A7">
      <w:pPr>
        <w:pStyle w:val="Default"/>
      </w:pPr>
      <w:r>
        <w:rPr>
          <w:i/>
          <w:iCs/>
          <w:sz w:val="20"/>
          <w:szCs w:val="20"/>
        </w:rPr>
        <w:t xml:space="preserve">For information on approved treatment rates, please visit </w:t>
      </w:r>
      <w:hyperlink r:id="rId16" w:anchor="treatment-types-and-rates-for-bmsb" w:history="1">
        <w:r w:rsidR="001A2604" w:rsidRPr="001A2604">
          <w:rPr>
            <w:rStyle w:val="Hyperlink"/>
            <w:rFonts w:asciiTheme="majorHAnsi" w:hAnsiTheme="majorHAnsi" w:cstheme="majorHAnsi"/>
            <w:i/>
            <w:iCs/>
            <w:sz w:val="21"/>
            <w:szCs w:val="21"/>
          </w:rPr>
          <w:t>https://www.agriculture.gov.au/biosecurity-trade/import/before/brown-marmorated-stink-bugs#treatment-types-and-rates-for-bmsb</w:t>
        </w:r>
      </w:hyperlink>
    </w:p>
    <w:p w14:paraId="019A5A31" w14:textId="77777777" w:rsidR="001A2604" w:rsidRPr="00E16A24" w:rsidRDefault="001A2604" w:rsidP="000373A7">
      <w:pPr>
        <w:pStyle w:val="Default"/>
        <w:rPr>
          <w:rFonts w:asciiTheme="majorHAnsi" w:hAnsiTheme="majorHAnsi"/>
          <w:i/>
          <w:iCs/>
          <w:color w:val="0462C1"/>
          <w:sz w:val="21"/>
          <w:szCs w:val="21"/>
        </w:rPr>
      </w:pPr>
    </w:p>
    <w:p w14:paraId="41460274" w14:textId="407E99FC" w:rsidR="000373A7" w:rsidRDefault="000373A7" w:rsidP="000373A7">
      <w:pPr>
        <w:pStyle w:val="Default"/>
        <w:rPr>
          <w:i/>
          <w:iCs/>
          <w:color w:val="0462C1"/>
          <w:sz w:val="20"/>
          <w:szCs w:val="20"/>
        </w:rPr>
      </w:pPr>
      <w:r>
        <w:rPr>
          <w:i/>
          <w:iCs/>
          <w:color w:val="0462C1"/>
          <w:sz w:val="20"/>
          <w:szCs w:val="20"/>
        </w:rPr>
        <w:t xml:space="preserve"> </w:t>
      </w:r>
    </w:p>
    <w:p w14:paraId="09F306BD" w14:textId="71D6C750" w:rsidR="00D87102" w:rsidRDefault="00FF3C41" w:rsidP="000373A7">
      <w:pPr>
        <w:pStyle w:val="Default"/>
        <w:rPr>
          <w:b/>
          <w:bCs/>
          <w:i/>
          <w:iCs/>
          <w:color w:val="C00000"/>
          <w:sz w:val="23"/>
          <w:szCs w:val="23"/>
        </w:rPr>
      </w:pPr>
      <w:r w:rsidRPr="00FF3C41">
        <w:rPr>
          <w:b/>
          <w:bCs/>
          <w:i/>
          <w:iCs/>
          <w:color w:val="C00000"/>
          <w:sz w:val="23"/>
          <w:szCs w:val="23"/>
        </w:rPr>
        <w:t>Safeguarding Arrangements Scheme</w:t>
      </w:r>
    </w:p>
    <w:p w14:paraId="57A93DB3" w14:textId="77777777" w:rsidR="00D8423D" w:rsidRDefault="00D8423D" w:rsidP="000373A7">
      <w:pPr>
        <w:pStyle w:val="Default"/>
        <w:rPr>
          <w:i/>
          <w:iCs/>
          <w:color w:val="0462C1"/>
          <w:sz w:val="20"/>
          <w:szCs w:val="20"/>
        </w:rPr>
      </w:pPr>
    </w:p>
    <w:p w14:paraId="525B9B08" w14:textId="357A0DE3" w:rsidR="00562D78" w:rsidRPr="00562D78" w:rsidRDefault="00562D78" w:rsidP="00562D78">
      <w:pPr>
        <w:pStyle w:val="Default"/>
        <w:rPr>
          <w:i/>
          <w:iCs/>
          <w:color w:val="auto"/>
          <w:sz w:val="20"/>
          <w:szCs w:val="20"/>
        </w:rPr>
      </w:pPr>
      <w:r w:rsidRPr="00562D78">
        <w:rPr>
          <w:i/>
          <w:iCs/>
          <w:color w:val="auto"/>
          <w:sz w:val="20"/>
          <w:szCs w:val="20"/>
        </w:rPr>
        <w:t>The Safeguarding Arrangements Scheme offers an alternative clearance pathway for Brown Marmorated Stink Bug (BMSB) targeted goods, shipped in hard six-sided containers from risk countries during the BMSB risk season, 1 September</w:t>
      </w:r>
      <w:r w:rsidR="00D8423D">
        <w:rPr>
          <w:i/>
          <w:iCs/>
          <w:color w:val="auto"/>
          <w:sz w:val="20"/>
          <w:szCs w:val="20"/>
        </w:rPr>
        <w:t xml:space="preserve"> 2022</w:t>
      </w:r>
      <w:r w:rsidRPr="00562D78">
        <w:rPr>
          <w:i/>
          <w:iCs/>
          <w:color w:val="auto"/>
          <w:sz w:val="20"/>
          <w:szCs w:val="20"/>
        </w:rPr>
        <w:t xml:space="preserve"> to 30 April</w:t>
      </w:r>
      <w:r w:rsidR="00D8423D">
        <w:rPr>
          <w:i/>
          <w:iCs/>
          <w:color w:val="auto"/>
          <w:sz w:val="20"/>
          <w:szCs w:val="20"/>
        </w:rPr>
        <w:t xml:space="preserve"> 2023</w:t>
      </w:r>
      <w:r w:rsidRPr="00562D78">
        <w:rPr>
          <w:i/>
          <w:iCs/>
          <w:color w:val="auto"/>
          <w:sz w:val="20"/>
          <w:szCs w:val="20"/>
        </w:rPr>
        <w:t>.</w:t>
      </w:r>
    </w:p>
    <w:p w14:paraId="1AFA959A" w14:textId="77777777" w:rsidR="00D8423D" w:rsidRDefault="00562D78" w:rsidP="00562D78">
      <w:pPr>
        <w:pStyle w:val="Default"/>
        <w:rPr>
          <w:i/>
          <w:iCs/>
          <w:color w:val="auto"/>
          <w:sz w:val="20"/>
          <w:szCs w:val="20"/>
        </w:rPr>
      </w:pPr>
      <w:r w:rsidRPr="00562D78">
        <w:rPr>
          <w:i/>
          <w:iCs/>
          <w:color w:val="auto"/>
          <w:sz w:val="20"/>
          <w:szCs w:val="20"/>
        </w:rPr>
        <w:t xml:space="preserve">The scheme offers importers the opportunity to demonstrate that processes in their manufacturing supply chain can effectively prevent their goods from being exposed and contaminated with BMSB and other exotic pests. </w:t>
      </w:r>
    </w:p>
    <w:p w14:paraId="2732D29A" w14:textId="1A49EE58" w:rsidR="00562D78" w:rsidRDefault="00562D78" w:rsidP="00562D78">
      <w:pPr>
        <w:pStyle w:val="Default"/>
        <w:rPr>
          <w:i/>
          <w:iCs/>
          <w:color w:val="auto"/>
          <w:sz w:val="20"/>
          <w:szCs w:val="20"/>
        </w:rPr>
      </w:pPr>
      <w:r w:rsidRPr="00562D78">
        <w:rPr>
          <w:i/>
          <w:iCs/>
          <w:color w:val="auto"/>
          <w:sz w:val="20"/>
          <w:szCs w:val="20"/>
        </w:rPr>
        <w:t>These approved alternative biosecurity controls remove the requirement of a mandatory BMSB treatment on arrival, by ensuring the goods are BMSB free prior to export to Australia.</w:t>
      </w:r>
    </w:p>
    <w:p w14:paraId="647F5737" w14:textId="77777777" w:rsidR="00D8423D" w:rsidRDefault="00D8423D" w:rsidP="00562D78">
      <w:pPr>
        <w:pStyle w:val="Default"/>
        <w:rPr>
          <w:i/>
          <w:iCs/>
          <w:color w:val="auto"/>
          <w:sz w:val="20"/>
          <w:szCs w:val="20"/>
        </w:rPr>
      </w:pPr>
    </w:p>
    <w:p w14:paraId="6CA03878" w14:textId="77777777" w:rsidR="00D8423D" w:rsidRDefault="00D8423D" w:rsidP="00562D78">
      <w:pPr>
        <w:pStyle w:val="Default"/>
        <w:rPr>
          <w:i/>
          <w:iCs/>
          <w:color w:val="auto"/>
          <w:sz w:val="20"/>
          <w:szCs w:val="20"/>
        </w:rPr>
      </w:pPr>
      <w:r w:rsidRPr="00D8423D">
        <w:rPr>
          <w:i/>
          <w:iCs/>
          <w:color w:val="auto"/>
          <w:sz w:val="20"/>
          <w:szCs w:val="20"/>
        </w:rPr>
        <w:t xml:space="preserve">Safeguarding Arrangements are only available to participants that meet the following eligibility criteria: </w:t>
      </w:r>
    </w:p>
    <w:p w14:paraId="675FE70C" w14:textId="253DB231" w:rsidR="00D8423D" w:rsidRDefault="00D8423D" w:rsidP="00562D78">
      <w:pPr>
        <w:pStyle w:val="Default"/>
        <w:rPr>
          <w:i/>
          <w:iCs/>
          <w:color w:val="auto"/>
          <w:sz w:val="20"/>
          <w:szCs w:val="20"/>
        </w:rPr>
      </w:pPr>
      <w:r w:rsidRPr="00D8423D">
        <w:rPr>
          <w:i/>
          <w:iCs/>
          <w:color w:val="auto"/>
          <w:sz w:val="20"/>
          <w:szCs w:val="20"/>
        </w:rPr>
        <w:t>• Hold a valid Australian Business Number</w:t>
      </w:r>
    </w:p>
    <w:p w14:paraId="4462A7F7" w14:textId="4AE9D259" w:rsidR="00D8423D" w:rsidRDefault="00D8423D" w:rsidP="00562D78">
      <w:pPr>
        <w:pStyle w:val="Default"/>
        <w:rPr>
          <w:i/>
          <w:iCs/>
          <w:color w:val="auto"/>
          <w:sz w:val="20"/>
          <w:szCs w:val="20"/>
        </w:rPr>
      </w:pPr>
      <w:r w:rsidRPr="00D8423D">
        <w:rPr>
          <w:i/>
          <w:iCs/>
          <w:color w:val="auto"/>
          <w:sz w:val="20"/>
          <w:szCs w:val="20"/>
        </w:rPr>
        <w:t>• Goods must be transported in a hard six-sided shipping container</w:t>
      </w:r>
    </w:p>
    <w:p w14:paraId="7FDA1CB8" w14:textId="0737844A" w:rsidR="00D8423D" w:rsidRDefault="00D8423D" w:rsidP="00562D78">
      <w:pPr>
        <w:pStyle w:val="Default"/>
        <w:rPr>
          <w:i/>
          <w:iCs/>
          <w:color w:val="auto"/>
          <w:sz w:val="20"/>
          <w:szCs w:val="20"/>
        </w:rPr>
      </w:pPr>
      <w:r w:rsidRPr="00D8423D">
        <w:rPr>
          <w:i/>
          <w:iCs/>
          <w:color w:val="auto"/>
          <w:sz w:val="20"/>
          <w:szCs w:val="20"/>
        </w:rPr>
        <w:t xml:space="preserve">• Goods must be stored indoors between manufacture and export to Australia </w:t>
      </w:r>
    </w:p>
    <w:p w14:paraId="4774F7A2" w14:textId="77777777" w:rsidR="00354C3F" w:rsidRDefault="00D8423D" w:rsidP="00562D78">
      <w:pPr>
        <w:pStyle w:val="Default"/>
        <w:rPr>
          <w:i/>
          <w:iCs/>
          <w:color w:val="auto"/>
          <w:sz w:val="20"/>
          <w:szCs w:val="20"/>
        </w:rPr>
      </w:pPr>
      <w:r w:rsidRPr="00D8423D">
        <w:rPr>
          <w:i/>
          <w:iCs/>
          <w:color w:val="auto"/>
          <w:sz w:val="20"/>
          <w:szCs w:val="20"/>
        </w:rPr>
        <w:t>• Processes and mitigation actions are in place (and can be demonstrated) throughout the</w:t>
      </w:r>
    </w:p>
    <w:p w14:paraId="4CEB9146" w14:textId="6D4CE8CD" w:rsidR="00D8423D" w:rsidRDefault="00D8423D" w:rsidP="00354C3F">
      <w:pPr>
        <w:pStyle w:val="Default"/>
        <w:rPr>
          <w:i/>
          <w:iCs/>
          <w:color w:val="auto"/>
          <w:sz w:val="20"/>
          <w:szCs w:val="20"/>
        </w:rPr>
      </w:pPr>
      <w:r w:rsidRPr="00D8423D">
        <w:rPr>
          <w:i/>
          <w:iCs/>
          <w:color w:val="auto"/>
          <w:sz w:val="20"/>
          <w:szCs w:val="20"/>
        </w:rPr>
        <w:t>supply chain to protect the goods from exposure to BMSB, exotic pests and other biosecurity risks</w:t>
      </w:r>
    </w:p>
    <w:p w14:paraId="1F8BCCAA" w14:textId="2D45A81C" w:rsidR="00354C3F" w:rsidRDefault="00D8423D" w:rsidP="00562D78">
      <w:pPr>
        <w:pStyle w:val="Default"/>
        <w:rPr>
          <w:i/>
          <w:iCs/>
          <w:color w:val="auto"/>
          <w:sz w:val="20"/>
          <w:szCs w:val="20"/>
        </w:rPr>
      </w:pPr>
      <w:r w:rsidRPr="00D8423D">
        <w:rPr>
          <w:i/>
          <w:iCs/>
          <w:color w:val="auto"/>
          <w:sz w:val="20"/>
          <w:szCs w:val="20"/>
        </w:rPr>
        <w:t xml:space="preserve">• Contingency actions are in place (and can be demonstrated) in case BMSB is detected at any point in the supply chain </w:t>
      </w:r>
    </w:p>
    <w:p w14:paraId="5118536F" w14:textId="77777777" w:rsidR="00354C3F" w:rsidRDefault="00D8423D" w:rsidP="00562D78">
      <w:pPr>
        <w:pStyle w:val="Default"/>
        <w:rPr>
          <w:i/>
          <w:iCs/>
          <w:color w:val="auto"/>
          <w:sz w:val="20"/>
          <w:szCs w:val="20"/>
        </w:rPr>
      </w:pPr>
      <w:r w:rsidRPr="00D8423D">
        <w:rPr>
          <w:i/>
          <w:iCs/>
          <w:color w:val="auto"/>
          <w:sz w:val="20"/>
          <w:szCs w:val="20"/>
        </w:rPr>
        <w:t xml:space="preserve">• If approved, all supply chain staff must complete the department’s online Hitchhiker awareness training and understand their obligations under the safeguarding agreement. </w:t>
      </w:r>
    </w:p>
    <w:p w14:paraId="21495EB1" w14:textId="513749D5" w:rsidR="00D8423D" w:rsidRDefault="00D8423D" w:rsidP="00562D78">
      <w:pPr>
        <w:pStyle w:val="Default"/>
        <w:rPr>
          <w:i/>
          <w:iCs/>
          <w:color w:val="auto"/>
          <w:sz w:val="20"/>
          <w:szCs w:val="20"/>
        </w:rPr>
      </w:pPr>
      <w:r w:rsidRPr="00D8423D">
        <w:rPr>
          <w:i/>
          <w:iCs/>
          <w:color w:val="auto"/>
          <w:sz w:val="20"/>
          <w:szCs w:val="20"/>
        </w:rPr>
        <w:t>• Provide at least one supply chain compliance audit which meets your department approved supply chain plan for each manufacturing and indoor storage site, within 60 days of receiving formal approval for the current season.  Applications from qualifying stakeholders should be lodged with DAFF.</w:t>
      </w:r>
    </w:p>
    <w:p w14:paraId="3CC3E5BB" w14:textId="77777777" w:rsidR="00D8423D" w:rsidRDefault="00D8423D" w:rsidP="00562D78">
      <w:pPr>
        <w:pStyle w:val="Default"/>
        <w:rPr>
          <w:i/>
          <w:iCs/>
          <w:color w:val="auto"/>
          <w:sz w:val="20"/>
          <w:szCs w:val="20"/>
        </w:rPr>
      </w:pPr>
    </w:p>
    <w:p w14:paraId="5E9EDB2B" w14:textId="3E7EE13A" w:rsidR="00562D78" w:rsidRDefault="00562D78" w:rsidP="00562D78">
      <w:pPr>
        <w:pStyle w:val="Default"/>
        <w:rPr>
          <w:i/>
          <w:iCs/>
          <w:color w:val="auto"/>
          <w:sz w:val="20"/>
          <w:szCs w:val="20"/>
        </w:rPr>
      </w:pPr>
      <w:r>
        <w:rPr>
          <w:i/>
          <w:iCs/>
          <w:color w:val="auto"/>
          <w:sz w:val="20"/>
          <w:szCs w:val="20"/>
        </w:rPr>
        <w:t xml:space="preserve">Further information can be found at </w:t>
      </w:r>
      <w:hyperlink r:id="rId17" w:history="1">
        <w:r w:rsidRPr="001C391A">
          <w:rPr>
            <w:rStyle w:val="Hyperlink"/>
            <w:i/>
            <w:iCs/>
            <w:sz w:val="20"/>
            <w:szCs w:val="20"/>
          </w:rPr>
          <w:t>https://www.agriculture.gov.au/biosecurity-trade/import/before/brown-marmorated-stink-bugs/safeguarding</w:t>
        </w:r>
      </w:hyperlink>
      <w:r>
        <w:rPr>
          <w:i/>
          <w:iCs/>
          <w:color w:val="auto"/>
          <w:sz w:val="20"/>
          <w:szCs w:val="20"/>
        </w:rPr>
        <w:t xml:space="preserve"> </w:t>
      </w:r>
    </w:p>
    <w:p w14:paraId="50106F9C" w14:textId="77777777" w:rsidR="00562D78" w:rsidRPr="00562D78" w:rsidRDefault="00562D78" w:rsidP="00562D78">
      <w:pPr>
        <w:pStyle w:val="Default"/>
        <w:rPr>
          <w:i/>
          <w:iCs/>
          <w:color w:val="auto"/>
          <w:sz w:val="20"/>
          <w:szCs w:val="20"/>
        </w:rPr>
      </w:pPr>
    </w:p>
    <w:p w14:paraId="3BB0C264" w14:textId="77777777" w:rsidR="00FF3C41" w:rsidRDefault="00FF3C41" w:rsidP="000373A7">
      <w:pPr>
        <w:pStyle w:val="Default"/>
        <w:rPr>
          <w:i/>
          <w:iCs/>
          <w:color w:val="0462C1"/>
          <w:sz w:val="20"/>
          <w:szCs w:val="20"/>
        </w:rPr>
      </w:pPr>
    </w:p>
    <w:p w14:paraId="6C4FC816" w14:textId="77777777" w:rsidR="00FF3C41" w:rsidRDefault="00FF3C41" w:rsidP="000373A7">
      <w:pPr>
        <w:pStyle w:val="Default"/>
        <w:rPr>
          <w:i/>
          <w:iCs/>
          <w:color w:val="0462C1"/>
          <w:sz w:val="20"/>
          <w:szCs w:val="20"/>
        </w:rPr>
      </w:pPr>
    </w:p>
    <w:p w14:paraId="02C5FAF0" w14:textId="00388C1A" w:rsidR="008618C8" w:rsidRDefault="008618C8" w:rsidP="000373A7">
      <w:pPr>
        <w:pStyle w:val="Default"/>
        <w:rPr>
          <w:i/>
          <w:iCs/>
          <w:color w:val="0462C1"/>
          <w:sz w:val="20"/>
          <w:szCs w:val="20"/>
        </w:rPr>
      </w:pPr>
    </w:p>
    <w:p w14:paraId="6152B97B" w14:textId="77777777" w:rsidR="000373A7" w:rsidRDefault="000373A7" w:rsidP="000373A7">
      <w:pPr>
        <w:pStyle w:val="Default"/>
        <w:rPr>
          <w:b/>
          <w:bCs/>
          <w:i/>
          <w:iCs/>
          <w:sz w:val="20"/>
          <w:szCs w:val="20"/>
        </w:rPr>
      </w:pPr>
    </w:p>
    <w:p w14:paraId="3DA28D09" w14:textId="77777777" w:rsidR="000373A7" w:rsidRDefault="000373A7" w:rsidP="000373A7">
      <w:pPr>
        <w:pStyle w:val="Default"/>
        <w:rPr>
          <w:b/>
          <w:bCs/>
          <w:i/>
          <w:iCs/>
          <w:sz w:val="20"/>
          <w:szCs w:val="20"/>
        </w:rPr>
      </w:pPr>
      <w:r>
        <w:rPr>
          <w:b/>
          <w:bCs/>
          <w:i/>
          <w:iCs/>
          <w:sz w:val="20"/>
          <w:szCs w:val="20"/>
        </w:rPr>
        <w:t xml:space="preserve">Further Information </w:t>
      </w:r>
    </w:p>
    <w:p w14:paraId="20095495" w14:textId="4A0E4B1D" w:rsidR="000373A7" w:rsidRDefault="000373A7" w:rsidP="000373A7">
      <w:pPr>
        <w:rPr>
          <w:i/>
          <w:iCs/>
          <w:sz w:val="20"/>
          <w:szCs w:val="20"/>
        </w:rPr>
      </w:pPr>
      <w:r>
        <w:rPr>
          <w:i/>
          <w:iCs/>
          <w:sz w:val="20"/>
          <w:szCs w:val="20"/>
        </w:rPr>
        <w:t>For full details on the 202</w:t>
      </w:r>
      <w:r w:rsidR="00994394">
        <w:rPr>
          <w:i/>
          <w:iCs/>
          <w:sz w:val="20"/>
          <w:szCs w:val="20"/>
        </w:rPr>
        <w:t>2</w:t>
      </w:r>
      <w:r>
        <w:rPr>
          <w:i/>
          <w:iCs/>
          <w:sz w:val="20"/>
          <w:szCs w:val="20"/>
        </w:rPr>
        <w:t>–2</w:t>
      </w:r>
      <w:r w:rsidR="00994394">
        <w:rPr>
          <w:i/>
          <w:iCs/>
          <w:sz w:val="20"/>
          <w:szCs w:val="20"/>
        </w:rPr>
        <w:t>3</w:t>
      </w:r>
      <w:r>
        <w:rPr>
          <w:i/>
          <w:iCs/>
          <w:sz w:val="20"/>
          <w:szCs w:val="20"/>
        </w:rPr>
        <w:t xml:space="preserve"> BMSB seasonal measures and for information visit the </w:t>
      </w:r>
      <w:r w:rsidR="00381F21">
        <w:rPr>
          <w:i/>
          <w:iCs/>
          <w:sz w:val="20"/>
          <w:szCs w:val="20"/>
        </w:rPr>
        <w:t>DAFF</w:t>
      </w:r>
      <w:r>
        <w:rPr>
          <w:i/>
          <w:iCs/>
          <w:sz w:val="20"/>
          <w:szCs w:val="20"/>
        </w:rPr>
        <w:t xml:space="preserve"> website: </w:t>
      </w:r>
      <w:hyperlink r:id="rId18" w:history="1">
        <w:r w:rsidRPr="00B056A3">
          <w:rPr>
            <w:rStyle w:val="Hyperlink"/>
            <w:i/>
            <w:iCs/>
            <w:sz w:val="20"/>
            <w:szCs w:val="20"/>
          </w:rPr>
          <w:t>www.agriculture.gov.au/bmsb.</w:t>
        </w:r>
      </w:hyperlink>
      <w:r>
        <w:rPr>
          <w:i/>
          <w:iCs/>
          <w:sz w:val="20"/>
          <w:szCs w:val="20"/>
        </w:rPr>
        <w:t xml:space="preserve"> </w:t>
      </w:r>
    </w:p>
    <w:p w14:paraId="20FEA874" w14:textId="77777777" w:rsidR="000373A7" w:rsidRDefault="000373A7" w:rsidP="000373A7">
      <w:pPr>
        <w:rPr>
          <w:i/>
          <w:iCs/>
          <w:sz w:val="20"/>
          <w:szCs w:val="20"/>
        </w:rPr>
      </w:pPr>
      <w:r>
        <w:rPr>
          <w:i/>
          <w:iCs/>
          <w:sz w:val="20"/>
          <w:szCs w:val="20"/>
        </w:rPr>
        <w:t xml:space="preserve">Please do not hesitate to contact us for any additional information as required –  </w:t>
      </w:r>
    </w:p>
    <w:p w14:paraId="7F81232D" w14:textId="5E654D32" w:rsidR="008D422A" w:rsidRPr="008D422A" w:rsidRDefault="000373A7" w:rsidP="008D422A">
      <w:r>
        <w:rPr>
          <w:i/>
          <w:iCs/>
          <w:sz w:val="20"/>
          <w:szCs w:val="20"/>
        </w:rPr>
        <w:t xml:space="preserve">e-mail: </w:t>
      </w:r>
      <w:hyperlink r:id="rId19" w:history="1">
        <w:r w:rsidRPr="00346F34">
          <w:rPr>
            <w:rStyle w:val="Hyperlink"/>
            <w:i/>
            <w:iCs/>
            <w:sz w:val="20"/>
            <w:szCs w:val="20"/>
          </w:rPr>
          <w:t>cs@salglobal.com.au</w:t>
        </w:r>
      </w:hyperlink>
      <w:r>
        <w:rPr>
          <w:i/>
          <w:iCs/>
          <w:sz w:val="20"/>
          <w:szCs w:val="20"/>
        </w:rPr>
        <w:t xml:space="preserve"> or TEL: </w:t>
      </w:r>
      <w:r w:rsidRPr="003A2C42">
        <w:rPr>
          <w:i/>
          <w:iCs/>
          <w:color w:val="0070C0"/>
          <w:sz w:val="20"/>
          <w:szCs w:val="20"/>
        </w:rPr>
        <w:t>1300 814 743</w:t>
      </w:r>
    </w:p>
    <w:p w14:paraId="182F7E65" w14:textId="77777777" w:rsidR="008D422A" w:rsidRDefault="008D422A" w:rsidP="008D422A"/>
    <w:p w14:paraId="7110A4B5" w14:textId="77777777" w:rsidR="00426B83" w:rsidRPr="008D422A" w:rsidRDefault="00426B83" w:rsidP="008D422A">
      <w:pPr>
        <w:jc w:val="center"/>
      </w:pPr>
    </w:p>
    <w:sectPr w:rsidR="00426B83" w:rsidRPr="008D422A" w:rsidSect="008D422A">
      <w:headerReference w:type="even" r:id="rId20"/>
      <w:headerReference w:type="default" r:id="rId21"/>
      <w:footerReference w:type="default" r:id="rId22"/>
      <w:headerReference w:type="first" r:id="rId23"/>
      <w:pgSz w:w="11900" w:h="16840" w:code="9"/>
      <w:pgMar w:top="1440" w:right="1797" w:bottom="1440" w:left="1797" w:header="454" w:footer="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B0FB" w14:textId="77777777" w:rsidR="00D62EC4" w:rsidRDefault="00D62EC4" w:rsidP="00BA3700">
      <w:r>
        <w:separator/>
      </w:r>
    </w:p>
  </w:endnote>
  <w:endnote w:type="continuationSeparator" w:id="0">
    <w:p w14:paraId="2EC71567" w14:textId="77777777" w:rsidR="00D62EC4" w:rsidRDefault="00D62EC4" w:rsidP="00B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C13C" w14:textId="77777777" w:rsidR="00B115FC" w:rsidRPr="00B115FC" w:rsidRDefault="008D422A" w:rsidP="008D422A">
    <w:pPr>
      <w:pStyle w:val="Footer"/>
      <w:ind w:left="-1797" w:right="-1797"/>
      <w:contextualSpacing/>
      <w:jc w:val="center"/>
    </w:pPr>
    <w:r w:rsidRPr="008D422A">
      <w:rPr>
        <w:noProof/>
        <w:lang w:val="en-AU" w:eastAsia="en-AU"/>
      </w:rPr>
      <w:drawing>
        <wp:inline distT="0" distB="0" distL="0" distR="0" wp14:anchorId="1F3BCDCB" wp14:editId="7005BDF8">
          <wp:extent cx="7630262" cy="12801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654446" cy="12842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F71C" w14:textId="77777777" w:rsidR="00D62EC4" w:rsidRDefault="00D62EC4" w:rsidP="00BA3700">
      <w:r>
        <w:separator/>
      </w:r>
    </w:p>
  </w:footnote>
  <w:footnote w:type="continuationSeparator" w:id="0">
    <w:p w14:paraId="2EA11362" w14:textId="77777777" w:rsidR="00D62EC4" w:rsidRDefault="00D62EC4" w:rsidP="00B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EB9D" w14:textId="77777777" w:rsidR="008D422A" w:rsidRDefault="00381F21">
    <w:pPr>
      <w:pStyle w:val="Header"/>
    </w:pPr>
    <w:r>
      <w:rPr>
        <w:noProof/>
        <w:lang w:val="en-AU" w:eastAsia="en-AU"/>
      </w:rPr>
      <w:pict w14:anchorId="43AD5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99501" o:spid="_x0000_s2056" type="#_x0000_t75" style="position:absolute;margin-left:0;margin-top:0;width:415.15pt;height:400.15pt;z-index:-251656192;mso-position-horizontal:center;mso-position-horizontal-relative:margin;mso-position-vertical:center;mso-position-vertical-relative:margin" o:allowincell="f">
          <v:imagedata r:id="rId1" o:title="SAL 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3D24" w14:textId="77777777" w:rsidR="00BA3700" w:rsidRPr="00BA3700" w:rsidRDefault="00381F21" w:rsidP="00BA3700">
    <w:pPr>
      <w:pStyle w:val="Header"/>
    </w:pPr>
    <w:r>
      <w:rPr>
        <w:noProof/>
        <w:lang w:val="en-AU" w:eastAsia="en-AU"/>
      </w:rPr>
      <w:pict w14:anchorId="6CF5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99502" o:spid="_x0000_s2057" type="#_x0000_t75" style="position:absolute;margin-left:0;margin-top:0;width:415.15pt;height:400.15pt;z-index:-251655168;mso-position-horizontal:center;mso-position-horizontal-relative:margin;mso-position-vertical:center;mso-position-vertical-relative:margin" o:allowincell="f">
          <v:imagedata r:id="rId1" o:title="SAL SYMBOL" gain="19661f" blacklevel="22938f"/>
          <w10:wrap anchorx="margin" anchory="margin"/>
        </v:shape>
      </w:pict>
    </w:r>
    <w:r w:rsidR="00BA3700">
      <w:rPr>
        <w:noProof/>
        <w:lang w:val="en-AU" w:eastAsia="en-AU"/>
      </w:rPr>
      <w:drawing>
        <wp:anchor distT="0" distB="0" distL="114300" distR="114300" simplePos="0" relativeHeight="251658240" behindDoc="1" locked="0" layoutInCell="1" allowOverlap="1" wp14:anchorId="179393CF" wp14:editId="139A3DA6">
          <wp:simplePos x="0" y="0"/>
          <wp:positionH relativeFrom="column">
            <wp:posOffset>-1212850</wp:posOffset>
          </wp:positionH>
          <wp:positionV relativeFrom="paragraph">
            <wp:posOffset>-499745</wp:posOffset>
          </wp:positionV>
          <wp:extent cx="7703820" cy="12298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7703820" cy="12298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499C" w14:textId="77777777" w:rsidR="008D422A" w:rsidRDefault="00381F21">
    <w:pPr>
      <w:pStyle w:val="Header"/>
    </w:pPr>
    <w:r>
      <w:rPr>
        <w:noProof/>
        <w:lang w:val="en-AU" w:eastAsia="en-AU"/>
      </w:rPr>
      <w:pict w14:anchorId="7FC35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99500" o:spid="_x0000_s2055" type="#_x0000_t75" style="position:absolute;margin-left:0;margin-top:0;width:415.15pt;height:400.15pt;z-index:-251657216;mso-position-horizontal:center;mso-position-horizontal-relative:margin;mso-position-vertical:center;mso-position-vertical-relative:margin" o:allowincell="f">
          <v:imagedata r:id="rId1" o:title="SAL 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1211C"/>
    <w:multiLevelType w:val="hybridMultilevel"/>
    <w:tmpl w:val="C25C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4E78A5"/>
    <w:multiLevelType w:val="hybridMultilevel"/>
    <w:tmpl w:val="D6AE8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302742">
    <w:abstractNumId w:val="0"/>
  </w:num>
  <w:num w:numId="2" w16cid:durableId="119827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00"/>
    <w:rsid w:val="00010984"/>
    <w:rsid w:val="00011D29"/>
    <w:rsid w:val="000373A7"/>
    <w:rsid w:val="00060691"/>
    <w:rsid w:val="00063458"/>
    <w:rsid w:val="00070B06"/>
    <w:rsid w:val="00091DF6"/>
    <w:rsid w:val="000A7EED"/>
    <w:rsid w:val="000C0504"/>
    <w:rsid w:val="000E07EE"/>
    <w:rsid w:val="000F76D8"/>
    <w:rsid w:val="00117E89"/>
    <w:rsid w:val="001703B1"/>
    <w:rsid w:val="001A2604"/>
    <w:rsid w:val="001D7019"/>
    <w:rsid w:val="002A26A7"/>
    <w:rsid w:val="002A5F22"/>
    <w:rsid w:val="002D034C"/>
    <w:rsid w:val="00354C3F"/>
    <w:rsid w:val="00381F21"/>
    <w:rsid w:val="00390CE7"/>
    <w:rsid w:val="003F5E98"/>
    <w:rsid w:val="00426B83"/>
    <w:rsid w:val="00446DF9"/>
    <w:rsid w:val="00562D78"/>
    <w:rsid w:val="005759F2"/>
    <w:rsid w:val="00627E26"/>
    <w:rsid w:val="00690D4F"/>
    <w:rsid w:val="00694B92"/>
    <w:rsid w:val="006A039B"/>
    <w:rsid w:val="006E7419"/>
    <w:rsid w:val="006F03A0"/>
    <w:rsid w:val="00716F0E"/>
    <w:rsid w:val="007615E3"/>
    <w:rsid w:val="007B2B75"/>
    <w:rsid w:val="007B4E47"/>
    <w:rsid w:val="007E51F8"/>
    <w:rsid w:val="00860F85"/>
    <w:rsid w:val="008618C8"/>
    <w:rsid w:val="00893786"/>
    <w:rsid w:val="0089413E"/>
    <w:rsid w:val="008B42B2"/>
    <w:rsid w:val="008C4CDE"/>
    <w:rsid w:val="008D422A"/>
    <w:rsid w:val="008E5713"/>
    <w:rsid w:val="0092636E"/>
    <w:rsid w:val="0097510E"/>
    <w:rsid w:val="00994394"/>
    <w:rsid w:val="009C1486"/>
    <w:rsid w:val="009F670D"/>
    <w:rsid w:val="00A222F1"/>
    <w:rsid w:val="00A32898"/>
    <w:rsid w:val="00A44C10"/>
    <w:rsid w:val="00AC1AF1"/>
    <w:rsid w:val="00B056A3"/>
    <w:rsid w:val="00B115FC"/>
    <w:rsid w:val="00B27B4C"/>
    <w:rsid w:val="00B8188C"/>
    <w:rsid w:val="00B93730"/>
    <w:rsid w:val="00BA3700"/>
    <w:rsid w:val="00C63105"/>
    <w:rsid w:val="00CD1C22"/>
    <w:rsid w:val="00D0205A"/>
    <w:rsid w:val="00D20844"/>
    <w:rsid w:val="00D353C5"/>
    <w:rsid w:val="00D62EC4"/>
    <w:rsid w:val="00D8423D"/>
    <w:rsid w:val="00D87102"/>
    <w:rsid w:val="00DB6AC1"/>
    <w:rsid w:val="00DC56DB"/>
    <w:rsid w:val="00DE4AAA"/>
    <w:rsid w:val="00E046F8"/>
    <w:rsid w:val="00E16FA5"/>
    <w:rsid w:val="00E51024"/>
    <w:rsid w:val="00E53842"/>
    <w:rsid w:val="00E5789C"/>
    <w:rsid w:val="00E875AD"/>
    <w:rsid w:val="00EB7F54"/>
    <w:rsid w:val="00EC1DB7"/>
    <w:rsid w:val="00F6526A"/>
    <w:rsid w:val="00F74C4A"/>
    <w:rsid w:val="00F90467"/>
    <w:rsid w:val="00FA696C"/>
    <w:rsid w:val="00FE45F1"/>
    <w:rsid w:val="00FF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6ACDED1"/>
  <w14:defaultImageDpi w14:val="300"/>
  <w15:docId w15:val="{35754E73-D9EC-4AAE-A225-D3E246ED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700"/>
    <w:pPr>
      <w:tabs>
        <w:tab w:val="center" w:pos="4320"/>
        <w:tab w:val="right" w:pos="8640"/>
      </w:tabs>
    </w:pPr>
  </w:style>
  <w:style w:type="character" w:customStyle="1" w:styleId="HeaderChar">
    <w:name w:val="Header Char"/>
    <w:basedOn w:val="DefaultParagraphFont"/>
    <w:link w:val="Header"/>
    <w:uiPriority w:val="99"/>
    <w:rsid w:val="00BA3700"/>
  </w:style>
  <w:style w:type="paragraph" w:styleId="Footer">
    <w:name w:val="footer"/>
    <w:basedOn w:val="Normal"/>
    <w:link w:val="FooterChar"/>
    <w:uiPriority w:val="99"/>
    <w:unhideWhenUsed/>
    <w:rsid w:val="00BA3700"/>
    <w:pPr>
      <w:tabs>
        <w:tab w:val="center" w:pos="4320"/>
        <w:tab w:val="right" w:pos="8640"/>
      </w:tabs>
    </w:pPr>
  </w:style>
  <w:style w:type="character" w:customStyle="1" w:styleId="FooterChar">
    <w:name w:val="Footer Char"/>
    <w:basedOn w:val="DefaultParagraphFont"/>
    <w:link w:val="Footer"/>
    <w:uiPriority w:val="99"/>
    <w:rsid w:val="00BA3700"/>
  </w:style>
  <w:style w:type="paragraph" w:styleId="BalloonText">
    <w:name w:val="Balloon Text"/>
    <w:basedOn w:val="Normal"/>
    <w:link w:val="BalloonTextChar"/>
    <w:uiPriority w:val="99"/>
    <w:semiHidden/>
    <w:unhideWhenUsed/>
    <w:rsid w:val="00BA3700"/>
    <w:rPr>
      <w:rFonts w:ascii="Lucida Grande" w:hAnsi="Lucida Grande"/>
      <w:sz w:val="18"/>
      <w:szCs w:val="18"/>
    </w:rPr>
  </w:style>
  <w:style w:type="character" w:customStyle="1" w:styleId="BalloonTextChar">
    <w:name w:val="Balloon Text Char"/>
    <w:basedOn w:val="DefaultParagraphFont"/>
    <w:link w:val="BalloonText"/>
    <w:uiPriority w:val="99"/>
    <w:semiHidden/>
    <w:rsid w:val="00BA3700"/>
    <w:rPr>
      <w:rFonts w:ascii="Lucida Grande" w:hAnsi="Lucida Grande"/>
      <w:sz w:val="18"/>
      <w:szCs w:val="18"/>
    </w:rPr>
  </w:style>
  <w:style w:type="paragraph" w:customStyle="1" w:styleId="Default">
    <w:name w:val="Default"/>
    <w:rsid w:val="000373A7"/>
    <w:pPr>
      <w:autoSpaceDE w:val="0"/>
      <w:autoSpaceDN w:val="0"/>
      <w:adjustRightInd w:val="0"/>
    </w:pPr>
    <w:rPr>
      <w:rFonts w:ascii="Arial" w:hAnsi="Arial" w:cs="Arial"/>
      <w:color w:val="000000"/>
      <w:lang w:val="en-AU"/>
    </w:rPr>
  </w:style>
  <w:style w:type="character" w:styleId="Hyperlink">
    <w:name w:val="Hyperlink"/>
    <w:basedOn w:val="DefaultParagraphFont"/>
    <w:uiPriority w:val="99"/>
    <w:unhideWhenUsed/>
    <w:rsid w:val="000373A7"/>
    <w:rPr>
      <w:color w:val="0000FF" w:themeColor="hyperlink"/>
      <w:u w:val="single"/>
    </w:rPr>
  </w:style>
  <w:style w:type="character" w:styleId="UnresolvedMention">
    <w:name w:val="Unresolved Mention"/>
    <w:basedOn w:val="DefaultParagraphFont"/>
    <w:uiPriority w:val="99"/>
    <w:semiHidden/>
    <w:unhideWhenUsed/>
    <w:rsid w:val="00A44C10"/>
    <w:rPr>
      <w:color w:val="605E5C"/>
      <w:shd w:val="clear" w:color="auto" w:fill="E1DFDD"/>
    </w:rPr>
  </w:style>
  <w:style w:type="paragraph" w:styleId="NormalWeb">
    <w:name w:val="Normal (Web)"/>
    <w:basedOn w:val="Normal"/>
    <w:uiPriority w:val="99"/>
    <w:semiHidden/>
    <w:unhideWhenUsed/>
    <w:rsid w:val="008618C8"/>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8618C8"/>
    <w:rPr>
      <w:b/>
      <w:bCs/>
    </w:rPr>
  </w:style>
  <w:style w:type="character" w:styleId="FollowedHyperlink">
    <w:name w:val="FollowedHyperlink"/>
    <w:basedOn w:val="DefaultParagraphFont"/>
    <w:uiPriority w:val="99"/>
    <w:semiHidden/>
    <w:unhideWhenUsed/>
    <w:rsid w:val="00893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4876">
      <w:bodyDiv w:val="1"/>
      <w:marLeft w:val="0"/>
      <w:marRight w:val="0"/>
      <w:marTop w:val="0"/>
      <w:marBottom w:val="0"/>
      <w:divBdr>
        <w:top w:val="none" w:sz="0" w:space="0" w:color="auto"/>
        <w:left w:val="none" w:sz="0" w:space="0" w:color="auto"/>
        <w:bottom w:val="none" w:sz="0" w:space="0" w:color="auto"/>
        <w:right w:val="none" w:sz="0" w:space="0" w:color="auto"/>
      </w:divBdr>
    </w:div>
    <w:div w:id="1365670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griculture.gov.au/import/before/brown-marmorated-stink-bug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griculture.gov.au/biosecurity-trade/import/before/brown-marmorated-stink-bugs" TargetMode="External"/><Relationship Id="rId17" Type="http://schemas.openxmlformats.org/officeDocument/2006/relationships/hyperlink" Target="https://www.agriculture.gov.au/biosecurity-trade/import/before/brown-marmorated-stink-bugs/safeguard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biosecurity-trade/import/before/brown-marmorated-stink-bu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sites/default/files/documents/bmsb-nuft-declaration.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s@salglobal.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before/brown-marmorated-stink-bug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d2460d-de99-4b3c-936f-d14e6431dbd6">
      <Terms xmlns="http://schemas.microsoft.com/office/infopath/2007/PartnerControls"/>
    </lcf76f155ced4ddcb4097134ff3c332f>
    <TaxCatchAll xmlns="c6a3a686-2f64-4f45-bc0e-d1187b49cb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D0FE1194B6244EBDD240E26A6F1FCA" ma:contentTypeVersion="16" ma:contentTypeDescription="Create a new document." ma:contentTypeScope="" ma:versionID="9b9004faa91a26d2f131629be306e2a5">
  <xsd:schema xmlns:xsd="http://www.w3.org/2001/XMLSchema" xmlns:xs="http://www.w3.org/2001/XMLSchema" xmlns:p="http://schemas.microsoft.com/office/2006/metadata/properties" xmlns:ns2="c6a3a686-2f64-4f45-bc0e-d1187b49cb1a" xmlns:ns3="2ed2460d-de99-4b3c-936f-d14e6431dbd6" targetNamespace="http://schemas.microsoft.com/office/2006/metadata/properties" ma:root="true" ma:fieldsID="f2bbc257e220d57b0874ecd002d3e02d" ns2:_="" ns3:_="">
    <xsd:import namespace="c6a3a686-2f64-4f45-bc0e-d1187b49cb1a"/>
    <xsd:import namespace="2ed2460d-de99-4b3c-936f-d14e6431d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3a686-2f64-4f45-bc0e-d1187b49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2ef53-99fb-4f60-896b-a9a86be753f2}" ma:internalName="TaxCatchAll" ma:showField="CatchAllData" ma:web="c6a3a686-2f64-4f45-bc0e-d1187b49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d2460d-de99-4b3c-936f-d14e6431d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bd039f-6052-4a21-8584-ea3d2c6b4b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A7245-9E03-4254-97A4-6110F5512011}">
  <ds:schemaRefs>
    <ds:schemaRef ds:uri="http://schemas.microsoft.com/office/2006/metadata/properties"/>
    <ds:schemaRef ds:uri="http://schemas.microsoft.com/office/infopath/2007/PartnerControls"/>
    <ds:schemaRef ds:uri="2ed2460d-de99-4b3c-936f-d14e6431dbd6"/>
    <ds:schemaRef ds:uri="c6a3a686-2f64-4f45-bc0e-d1187b49cb1a"/>
  </ds:schemaRefs>
</ds:datastoreItem>
</file>

<file path=customXml/itemProps2.xml><?xml version="1.0" encoding="utf-8"?>
<ds:datastoreItem xmlns:ds="http://schemas.openxmlformats.org/officeDocument/2006/customXml" ds:itemID="{121E34A3-68A4-4F2F-A4E5-84D3009FB853}">
  <ds:schemaRefs>
    <ds:schemaRef ds:uri="http://schemas.openxmlformats.org/officeDocument/2006/bibliography"/>
  </ds:schemaRefs>
</ds:datastoreItem>
</file>

<file path=customXml/itemProps3.xml><?xml version="1.0" encoding="utf-8"?>
<ds:datastoreItem xmlns:ds="http://schemas.openxmlformats.org/officeDocument/2006/customXml" ds:itemID="{CAA1CA73-8B3A-4DD2-941D-BBC4F801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3a686-2f64-4f45-bc0e-d1187b49cb1a"/>
    <ds:schemaRef ds:uri="2ed2460d-de99-4b3c-936f-d14e6431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361FF-79BD-4E9A-B1B9-380A45018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Excite Media</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Kranendonk</dc:creator>
  <cp:keywords/>
  <dc:description/>
  <cp:lastModifiedBy>Roger Hageman - SAL</cp:lastModifiedBy>
  <cp:revision>22</cp:revision>
  <cp:lastPrinted>2019-06-16T02:23:00Z</cp:lastPrinted>
  <dcterms:created xsi:type="dcterms:W3CDTF">2022-08-08T06:47:00Z</dcterms:created>
  <dcterms:modified xsi:type="dcterms:W3CDTF">2022-08-09T05:18:00Z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0x01010017D0FE1194B6244EBDD240E26A6F1FCA</vt:lpwstr>
  </property>
  <property fmtid="{D5CDD505-2E9C-101B-9397-08002B2CF9AE}" pid="3" name="Order">
    <vt:r8>2400</vt:r8>
  </property>
  <property fmtid="{D5CDD505-2E9C-101B-9397-08002B2CF9AE}" pid="4" name="MediaServiceImageTags">
    <vt:lpwstr/>
  </property>
</Properties>
</file>